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312"/>
        <w:gridCol w:w="6215"/>
      </w:tblGrid>
      <w:tr w:rsidR="008A07E3" w:rsidRPr="009F2BD1" w:rsidTr="00926DAC">
        <w:trPr>
          <w:trHeight w:val="1545"/>
        </w:trPr>
        <w:tc>
          <w:tcPr>
            <w:tcW w:w="8312" w:type="dxa"/>
          </w:tcPr>
          <w:p w:rsidR="00CB3767" w:rsidRPr="00F470EF" w:rsidRDefault="00CB3767" w:rsidP="008D58F3">
            <w:pPr>
              <w:jc w:val="left"/>
              <w:rPr>
                <w:rFonts w:ascii="Arial" w:hAnsi="Arial" w:cs="Arial"/>
                <w:sz w:val="24"/>
                <w:szCs w:val="24"/>
              </w:rPr>
            </w:pPr>
            <w:r w:rsidRPr="00F470EF">
              <w:rPr>
                <w:rFonts w:ascii="Arial" w:hAnsi="Arial" w:cs="Arial"/>
                <w:noProof/>
                <w:sz w:val="24"/>
                <w:szCs w:val="24"/>
              </w:rPr>
              <w:drawing>
                <wp:inline distT="0" distB="0" distL="0" distR="0" wp14:anchorId="6DA54930" wp14:editId="78F5B4B0">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r w:rsidR="008D58F3" w:rsidRPr="00267E4D">
              <w:rPr>
                <w:noProof/>
              </w:rPr>
              <w:drawing>
                <wp:inline distT="0" distB="0" distL="0" distR="0" wp14:anchorId="0521C6B1" wp14:editId="7BD0266D">
                  <wp:extent cx="234315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6043" cy="677110"/>
                          </a:xfrm>
                          <a:prstGeom prst="rect">
                            <a:avLst/>
                          </a:prstGeom>
                          <a:noFill/>
                        </pic:spPr>
                      </pic:pic>
                    </a:graphicData>
                  </a:graphic>
                </wp:inline>
              </w:drawing>
            </w:r>
          </w:p>
        </w:tc>
        <w:tc>
          <w:tcPr>
            <w:tcW w:w="6215" w:type="dxa"/>
          </w:tcPr>
          <w:p w:rsidR="00B7641E" w:rsidRPr="009F2BD1" w:rsidRDefault="00981AED" w:rsidP="009F2BD1">
            <w:pPr>
              <w:rPr>
                <w:b/>
                <w:color w:val="1F497D" w:themeColor="text2"/>
                <w:sz w:val="28"/>
                <w:szCs w:val="28"/>
              </w:rPr>
            </w:pPr>
            <w:r w:rsidRPr="009F2BD1">
              <w:rPr>
                <w:b/>
                <w:color w:val="1F497D" w:themeColor="text2"/>
                <w:sz w:val="28"/>
                <w:szCs w:val="28"/>
              </w:rPr>
              <w:t xml:space="preserve">SIM </w:t>
            </w:r>
            <w:r w:rsidR="001A7200" w:rsidRPr="009F2BD1">
              <w:rPr>
                <w:b/>
                <w:color w:val="1F497D" w:themeColor="text2"/>
                <w:sz w:val="28"/>
                <w:szCs w:val="28"/>
              </w:rPr>
              <w:t>Data Infrastructure</w:t>
            </w:r>
            <w:r w:rsidR="00DA4F5E" w:rsidRPr="009F2BD1">
              <w:rPr>
                <w:b/>
                <w:color w:val="1F497D" w:themeColor="text2"/>
                <w:sz w:val="28"/>
                <w:szCs w:val="28"/>
              </w:rPr>
              <w:t xml:space="preserve"> </w:t>
            </w:r>
            <w:r w:rsidRPr="009F2BD1">
              <w:rPr>
                <w:b/>
                <w:color w:val="1F497D" w:themeColor="text2"/>
                <w:sz w:val="28"/>
                <w:szCs w:val="28"/>
              </w:rPr>
              <w:t>S</w:t>
            </w:r>
            <w:r w:rsidR="00DA4F5E" w:rsidRPr="009F2BD1">
              <w:rPr>
                <w:b/>
                <w:color w:val="1F497D" w:themeColor="text2"/>
                <w:sz w:val="28"/>
                <w:szCs w:val="28"/>
              </w:rPr>
              <w:t>ubcommittee</w:t>
            </w:r>
          </w:p>
          <w:p w:rsidR="00B7641E" w:rsidRPr="009F2BD1" w:rsidRDefault="00B7641E" w:rsidP="009F2BD1">
            <w:pPr>
              <w:rPr>
                <w:b/>
                <w:color w:val="1F497D" w:themeColor="text2"/>
                <w:sz w:val="10"/>
              </w:rPr>
            </w:pPr>
          </w:p>
          <w:p w:rsidR="00B7641E" w:rsidRPr="009F2BD1" w:rsidRDefault="00DA4F5E" w:rsidP="009F2BD1">
            <w:pPr>
              <w:rPr>
                <w:b/>
                <w:color w:val="1F497D" w:themeColor="text2"/>
              </w:rPr>
            </w:pPr>
            <w:r w:rsidRPr="009F2BD1">
              <w:rPr>
                <w:b/>
                <w:color w:val="1F497D" w:themeColor="text2"/>
              </w:rPr>
              <w:t>Date</w:t>
            </w:r>
            <w:r w:rsidR="00453209">
              <w:rPr>
                <w:b/>
                <w:color w:val="1F497D" w:themeColor="text2"/>
              </w:rPr>
              <w:t xml:space="preserve">: </w:t>
            </w:r>
            <w:r w:rsidR="00720750">
              <w:rPr>
                <w:b/>
                <w:color w:val="1F497D" w:themeColor="text2"/>
              </w:rPr>
              <w:t>April 16, 2014</w:t>
            </w:r>
          </w:p>
          <w:p w:rsidR="00B7641E" w:rsidRPr="009F2BD1" w:rsidRDefault="00DA4F5E" w:rsidP="009F2BD1">
            <w:pPr>
              <w:rPr>
                <w:b/>
                <w:color w:val="1F497D" w:themeColor="text2"/>
              </w:rPr>
            </w:pPr>
            <w:r w:rsidRPr="009F2BD1">
              <w:rPr>
                <w:b/>
                <w:color w:val="1F497D" w:themeColor="text2"/>
              </w:rPr>
              <w:t>Time</w:t>
            </w:r>
            <w:r w:rsidR="001A7200" w:rsidRPr="009F2BD1">
              <w:rPr>
                <w:b/>
                <w:color w:val="1F497D" w:themeColor="text2"/>
              </w:rPr>
              <w:t xml:space="preserve">: </w:t>
            </w:r>
            <w:r w:rsidR="002243F2">
              <w:rPr>
                <w:b/>
                <w:color w:val="1F497D" w:themeColor="text2"/>
              </w:rPr>
              <w:t>2:00-4</w:t>
            </w:r>
            <w:r w:rsidR="001A7200" w:rsidRPr="009F2BD1">
              <w:rPr>
                <w:b/>
                <w:color w:val="1F497D" w:themeColor="text2"/>
              </w:rPr>
              <w:t>:00pm</w:t>
            </w:r>
          </w:p>
          <w:p w:rsidR="00CB3767" w:rsidRPr="009F2BD1" w:rsidRDefault="00DA4F5E" w:rsidP="00F20B0A">
            <w:pPr>
              <w:rPr>
                <w:b/>
                <w:color w:val="548DD4" w:themeColor="text2" w:themeTint="99"/>
              </w:rPr>
            </w:pPr>
            <w:r w:rsidRPr="009F2BD1">
              <w:rPr>
                <w:b/>
                <w:color w:val="1F497D" w:themeColor="text2"/>
              </w:rPr>
              <w:t>Location</w:t>
            </w:r>
            <w:r w:rsidR="00EC2CBE">
              <w:rPr>
                <w:b/>
                <w:color w:val="1F497D" w:themeColor="text2"/>
              </w:rPr>
              <w:t xml:space="preserve">: </w:t>
            </w:r>
            <w:r w:rsidR="00F20B0A">
              <w:rPr>
                <w:b/>
                <w:color w:val="1F497D" w:themeColor="text2"/>
              </w:rPr>
              <w:t>MaineGeneral Health, Alfond Center for Health, Aug</w:t>
            </w:r>
            <w:r w:rsidR="00453209">
              <w:rPr>
                <w:b/>
                <w:color w:val="1F497D" w:themeColor="text2"/>
              </w:rPr>
              <w:t>usta</w:t>
            </w:r>
          </w:p>
        </w:tc>
      </w:tr>
    </w:tbl>
    <w:p w:rsidR="00783336" w:rsidRPr="00F470EF" w:rsidRDefault="00783336" w:rsidP="00B57A9B">
      <w:pPr>
        <w:jc w:val="left"/>
        <w:rPr>
          <w:rFonts w:ascii="Arial" w:hAnsi="Arial" w:cs="Arial"/>
          <w:sz w:val="24"/>
          <w:szCs w:val="24"/>
        </w:rPr>
      </w:pPr>
    </w:p>
    <w:p w:rsidR="00E82E95" w:rsidRDefault="00E82E95" w:rsidP="00D90642">
      <w:pPr>
        <w:jc w:val="left"/>
        <w:rPr>
          <w:rFonts w:cstheme="minorHAnsi"/>
          <w:b/>
        </w:rPr>
      </w:pPr>
      <w:r>
        <w:rPr>
          <w:rFonts w:cstheme="minorHAnsi"/>
          <w:b/>
        </w:rPr>
        <w:t xml:space="preserve">Chair: </w:t>
      </w:r>
      <w:r w:rsidRPr="000557DD">
        <w:rPr>
          <w:rFonts w:cstheme="minorHAnsi"/>
        </w:rPr>
        <w:t>Katie Sendze, HealthInfoNet</w:t>
      </w:r>
      <w:r>
        <w:rPr>
          <w:rFonts w:cstheme="minorHAnsi"/>
          <w:b/>
        </w:rPr>
        <w:t xml:space="preserve">, </w:t>
      </w:r>
      <w:hyperlink r:id="rId11" w:history="1">
        <w:r w:rsidRPr="003B3A33">
          <w:rPr>
            <w:rStyle w:val="Hyperlink"/>
            <w:rFonts w:cstheme="minorHAnsi"/>
          </w:rPr>
          <w:t>ksendze@hinfonet.org</w:t>
        </w:r>
      </w:hyperlink>
      <w:r w:rsidR="00EC2CBE">
        <w:rPr>
          <w:rFonts w:cstheme="minorHAnsi"/>
          <w:b/>
        </w:rPr>
        <w:t xml:space="preserve">, HIN Staff: </w:t>
      </w:r>
      <w:r w:rsidR="00720750">
        <w:rPr>
          <w:rStyle w:val="Hyperlink"/>
          <w:rFonts w:cstheme="minorHAnsi"/>
          <w:color w:val="auto"/>
          <w:u w:val="none"/>
        </w:rPr>
        <w:t>Shaun Alfreds, Gemma Cannon; Katelyn Michaud</w:t>
      </w:r>
    </w:p>
    <w:p w:rsidR="00D243A2" w:rsidRDefault="00E82E95" w:rsidP="00B50A92">
      <w:pPr>
        <w:jc w:val="left"/>
        <w:rPr>
          <w:rFonts w:cstheme="minorHAnsi"/>
        </w:rPr>
      </w:pPr>
      <w:r w:rsidRPr="00E95CFE">
        <w:rPr>
          <w:rFonts w:cstheme="minorHAnsi"/>
          <w:b/>
          <w:u w:val="single"/>
        </w:rPr>
        <w:t xml:space="preserve">Member </w:t>
      </w:r>
      <w:r w:rsidR="00CB3767" w:rsidRPr="00E95CFE">
        <w:rPr>
          <w:rFonts w:cstheme="minorHAnsi"/>
          <w:b/>
          <w:u w:val="single"/>
        </w:rPr>
        <w:t>Attendance</w:t>
      </w:r>
      <w:r w:rsidR="008447C5">
        <w:rPr>
          <w:rFonts w:cstheme="minorHAnsi"/>
          <w:b/>
          <w:u w:val="single"/>
        </w:rPr>
        <w:t xml:space="preserve"> (A-Z)</w:t>
      </w:r>
      <w:r w:rsidR="00CB3767" w:rsidRPr="00E95CFE">
        <w:rPr>
          <w:rFonts w:cstheme="minorHAnsi"/>
          <w:b/>
        </w:rPr>
        <w:t>:</w:t>
      </w:r>
      <w:r w:rsidRPr="00E95CFE">
        <w:rPr>
          <w:rFonts w:cstheme="minorHAnsi"/>
          <w:b/>
        </w:rPr>
        <w:t xml:space="preserve"> </w:t>
      </w:r>
      <w:r w:rsidR="00123CC3">
        <w:rPr>
          <w:rFonts w:cstheme="minorHAnsi"/>
          <w:b/>
        </w:rPr>
        <w:t xml:space="preserve"> </w:t>
      </w:r>
      <w:r w:rsidR="00720750" w:rsidRPr="000557DD">
        <w:rPr>
          <w:rFonts w:cstheme="minorHAnsi"/>
        </w:rPr>
        <w:t xml:space="preserve">Nancy Birkhimer </w:t>
      </w:r>
      <w:r w:rsidR="00720750">
        <w:rPr>
          <w:rFonts w:cstheme="minorHAnsi"/>
        </w:rPr>
        <w:t xml:space="preserve">, Barbara Crowley, </w:t>
      </w:r>
      <w:r w:rsidR="00720750" w:rsidRPr="000557DD">
        <w:rPr>
          <w:rFonts w:cstheme="minorHAnsi"/>
        </w:rPr>
        <w:t>Michael DeLorenzo,</w:t>
      </w:r>
      <w:r w:rsidR="00720750">
        <w:rPr>
          <w:rFonts w:cstheme="minorHAnsi"/>
        </w:rPr>
        <w:t xml:space="preserve"> </w:t>
      </w:r>
      <w:r w:rsidR="00720750" w:rsidRPr="000557DD">
        <w:rPr>
          <w:rFonts w:cstheme="minorHAnsi"/>
        </w:rPr>
        <w:t>Bruce Donlin, Dawn Gallagher</w:t>
      </w:r>
      <w:r w:rsidR="00720750">
        <w:rPr>
          <w:rFonts w:cstheme="minorHAnsi"/>
        </w:rPr>
        <w:t>,</w:t>
      </w:r>
      <w:r w:rsidR="00720750" w:rsidRPr="000557DD">
        <w:rPr>
          <w:rFonts w:cstheme="minorHAnsi"/>
        </w:rPr>
        <w:t xml:space="preserve"> Wayne Gregersen</w:t>
      </w:r>
      <w:r w:rsidR="00720750">
        <w:rPr>
          <w:rFonts w:cstheme="minorHAnsi"/>
        </w:rPr>
        <w:t xml:space="preserve">, , </w:t>
      </w:r>
      <w:r w:rsidR="00720750" w:rsidRPr="000557DD">
        <w:rPr>
          <w:rFonts w:cstheme="minorHAnsi"/>
        </w:rPr>
        <w:t>Patsy Leavitt</w:t>
      </w:r>
      <w:r w:rsidR="00720750">
        <w:rPr>
          <w:rFonts w:cstheme="minorHAnsi"/>
        </w:rPr>
        <w:t xml:space="preserve">, </w:t>
      </w:r>
      <w:r w:rsidR="00720750" w:rsidRPr="000557DD">
        <w:rPr>
          <w:rFonts w:cstheme="minorHAnsi"/>
        </w:rPr>
        <w:t>Margaret Longsworth</w:t>
      </w:r>
      <w:r w:rsidR="00720750">
        <w:rPr>
          <w:rFonts w:cstheme="minorHAnsi"/>
        </w:rPr>
        <w:t xml:space="preserve">, Chuck Pritchard  </w:t>
      </w:r>
    </w:p>
    <w:p w:rsidR="00720750" w:rsidRDefault="0033286A" w:rsidP="00B50A92">
      <w:pPr>
        <w:jc w:val="left"/>
        <w:rPr>
          <w:rFonts w:cstheme="minorHAnsi"/>
        </w:rPr>
      </w:pPr>
      <w:r w:rsidRPr="0033286A">
        <w:rPr>
          <w:rFonts w:cstheme="minorHAnsi"/>
          <w:b/>
          <w:u w:val="single"/>
        </w:rPr>
        <w:t>Interested Parties:</w:t>
      </w:r>
      <w:r>
        <w:rPr>
          <w:rFonts w:cstheme="minorHAnsi"/>
          <w:b/>
          <w:u w:val="single"/>
        </w:rPr>
        <w:t xml:space="preserve"> </w:t>
      </w:r>
      <w:r w:rsidR="00720750">
        <w:rPr>
          <w:rFonts w:cstheme="minorHAnsi"/>
        </w:rPr>
        <w:t xml:space="preserve">Richard Chaucer, </w:t>
      </w:r>
      <w:r w:rsidR="00475CE3">
        <w:rPr>
          <w:rFonts w:cstheme="minorHAnsi"/>
        </w:rPr>
        <w:t>Jonathon</w:t>
      </w:r>
      <w:r w:rsidR="00720750">
        <w:rPr>
          <w:rFonts w:cstheme="minorHAnsi"/>
        </w:rPr>
        <w:t xml:space="preserve"> Ive</w:t>
      </w:r>
      <w:r w:rsidR="00475CE3">
        <w:rPr>
          <w:rFonts w:cstheme="minorHAnsi"/>
        </w:rPr>
        <w:t>s</w:t>
      </w:r>
    </w:p>
    <w:p w:rsidR="00576891" w:rsidRPr="00F6206F" w:rsidRDefault="00E82E95" w:rsidP="00B57A9B">
      <w:pPr>
        <w:jc w:val="left"/>
        <w:rPr>
          <w:rFonts w:cstheme="minorHAnsi"/>
        </w:rPr>
        <w:sectPr w:rsidR="00576891" w:rsidRPr="00F6206F" w:rsidSect="00BC2BC9">
          <w:headerReference w:type="default" r:id="rId12"/>
          <w:footerReference w:type="default" r:id="rId13"/>
          <w:pgSz w:w="15840" w:h="12240" w:orient="landscape"/>
          <w:pgMar w:top="432" w:right="432" w:bottom="432" w:left="432" w:header="720" w:footer="720" w:gutter="0"/>
          <w:cols w:space="720"/>
          <w:docGrid w:linePitch="360"/>
        </w:sectPr>
      </w:pPr>
      <w:r w:rsidRPr="00E95CFE">
        <w:rPr>
          <w:rFonts w:cstheme="minorHAnsi"/>
          <w:b/>
          <w:u w:val="single"/>
        </w:rPr>
        <w:t xml:space="preserve">Members </w:t>
      </w:r>
      <w:r w:rsidR="00E95CFE" w:rsidRPr="00E95CFE">
        <w:rPr>
          <w:rFonts w:cstheme="minorHAnsi"/>
          <w:b/>
          <w:u w:val="single"/>
        </w:rPr>
        <w:t>Absent</w:t>
      </w:r>
      <w:r w:rsidR="00E95CFE">
        <w:rPr>
          <w:rFonts w:cstheme="minorHAnsi"/>
          <w:b/>
        </w:rPr>
        <w:t>:</w:t>
      </w:r>
      <w:r w:rsidR="000B3F54">
        <w:rPr>
          <w:rFonts w:cstheme="minorHAnsi"/>
          <w:b/>
        </w:rPr>
        <w:t xml:space="preserve"> </w:t>
      </w:r>
      <w:r w:rsidR="00720750">
        <w:rPr>
          <w:rFonts w:cstheme="minorHAnsi"/>
        </w:rPr>
        <w:t xml:space="preserve">Carrie Arseanault, </w:t>
      </w:r>
      <w:r w:rsidR="00720750" w:rsidRPr="000557DD">
        <w:rPr>
          <w:rFonts w:cstheme="minorHAnsi"/>
        </w:rPr>
        <w:t>Rebecca Gagnon</w:t>
      </w:r>
      <w:r w:rsidR="00720750">
        <w:rPr>
          <w:rFonts w:cstheme="minorHAnsi"/>
        </w:rPr>
        <w:t xml:space="preserve">, </w:t>
      </w:r>
      <w:r w:rsidR="00720750" w:rsidRPr="000557DD">
        <w:rPr>
          <w:rFonts w:cstheme="minorHAnsi"/>
        </w:rPr>
        <w:t>Karynlee Harrington</w:t>
      </w:r>
      <w:r w:rsidR="00720750">
        <w:rPr>
          <w:rFonts w:cstheme="minorHAnsi"/>
        </w:rPr>
        <w:t xml:space="preserve">, </w:t>
      </w:r>
      <w:r w:rsidR="00720750" w:rsidRPr="000557DD">
        <w:rPr>
          <w:rFonts w:cstheme="minorHAnsi"/>
        </w:rPr>
        <w:t>Ralph Johnson</w:t>
      </w:r>
      <w:r w:rsidR="00720750">
        <w:rPr>
          <w:rFonts w:cstheme="minorHAnsi"/>
        </w:rPr>
        <w:t>, Luke Lazure,</w:t>
      </w:r>
      <w:r w:rsidR="00720750" w:rsidRPr="000557DD">
        <w:rPr>
          <w:rFonts w:cstheme="minorHAnsi"/>
        </w:rPr>
        <w:t xml:space="preserve"> Katherine Pelletreau</w:t>
      </w:r>
      <w:r w:rsidR="00720750">
        <w:rPr>
          <w:rFonts w:cstheme="minorHAnsi"/>
        </w:rPr>
        <w:t xml:space="preserve">, Joseph Riddick, </w:t>
      </w:r>
      <w:r w:rsidR="00720750" w:rsidRPr="000557DD">
        <w:rPr>
          <w:rFonts w:cstheme="minorHAnsi"/>
        </w:rPr>
        <w:t>Ann Sullivan</w:t>
      </w: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DA4F5E" w:rsidRDefault="00A72713" w:rsidP="003B3A33">
      <w:pPr>
        <w:ind w:left="-990"/>
        <w:jc w:val="left"/>
      </w:pPr>
      <w:r w:rsidRPr="007B64B4">
        <w:rPr>
          <w:rFonts w:cs="Arial"/>
          <w:i/>
        </w:rPr>
        <w:t xml:space="preserve">Subcommittee </w:t>
      </w:r>
      <w:r w:rsidR="00AA1F9E" w:rsidRPr="007B64B4">
        <w:rPr>
          <w:rFonts w:cs="Arial"/>
          <w:i/>
        </w:rPr>
        <w:t>documents available at</w:t>
      </w:r>
      <w:r w:rsidR="00AA1F9E" w:rsidRPr="00E95CFE">
        <w:rPr>
          <w:rFonts w:cs="Arial"/>
          <w:b/>
        </w:rPr>
        <w:t xml:space="preserve">:  </w:t>
      </w:r>
      <w:hyperlink r:id="rId14" w:history="1">
        <w:r w:rsidR="003B3A33" w:rsidRPr="002B089E">
          <w:rPr>
            <w:rStyle w:val="Hyperlink"/>
          </w:rPr>
          <w:t>http://www.maine.gov/dhhs/oms/sim/data-infrastructure/index.shtml</w:t>
        </w:r>
      </w:hyperlink>
    </w:p>
    <w:p w:rsidR="002B6325" w:rsidRPr="00AA1F9E" w:rsidRDefault="002B6325" w:rsidP="00B55426">
      <w:pPr>
        <w:jc w:val="left"/>
        <w:rPr>
          <w:rFonts w:ascii="Arial" w:hAnsi="Arial" w:cs="Arial"/>
          <w:b/>
          <w:sz w:val="24"/>
          <w:szCs w:val="24"/>
        </w:rPr>
      </w:pPr>
    </w:p>
    <w:tbl>
      <w:tblPr>
        <w:tblStyle w:val="TableGrid"/>
        <w:tblW w:w="14262" w:type="dxa"/>
        <w:tblInd w:w="-792" w:type="dxa"/>
        <w:tblLayout w:type="fixed"/>
        <w:tblLook w:val="04A0" w:firstRow="1" w:lastRow="0" w:firstColumn="1" w:lastColumn="0" w:noHBand="0" w:noVBand="1"/>
      </w:tblPr>
      <w:tblGrid>
        <w:gridCol w:w="2970"/>
        <w:gridCol w:w="8550"/>
        <w:gridCol w:w="2742"/>
      </w:tblGrid>
      <w:tr w:rsidR="002F4AEB" w:rsidRPr="002F4AEB" w:rsidTr="002F4AEB">
        <w:tc>
          <w:tcPr>
            <w:tcW w:w="2970" w:type="dxa"/>
            <w:shd w:val="clear" w:color="auto" w:fill="E5B8B7" w:themeFill="accent2" w:themeFillTint="66"/>
          </w:tcPr>
          <w:p w:rsidR="001A7200" w:rsidRPr="002F4AEB" w:rsidRDefault="0000706D" w:rsidP="00B57A9B">
            <w:pPr>
              <w:jc w:val="left"/>
              <w:rPr>
                <w:rFonts w:cstheme="minorHAnsi"/>
                <w:b/>
              </w:rPr>
            </w:pPr>
            <w:r>
              <w:rPr>
                <w:rFonts w:cstheme="minorHAnsi"/>
                <w:b/>
              </w:rPr>
              <w:t>Agenda Item</w:t>
            </w:r>
          </w:p>
        </w:tc>
        <w:tc>
          <w:tcPr>
            <w:tcW w:w="8550" w:type="dxa"/>
            <w:shd w:val="clear" w:color="auto" w:fill="E5B8B7" w:themeFill="accent2" w:themeFillTint="66"/>
          </w:tcPr>
          <w:p w:rsidR="001A7200" w:rsidRPr="002F4AEB" w:rsidRDefault="00214A97" w:rsidP="00B57A9B">
            <w:pPr>
              <w:jc w:val="left"/>
              <w:rPr>
                <w:rFonts w:cstheme="minorHAnsi"/>
                <w:b/>
              </w:rPr>
            </w:pPr>
            <w:r>
              <w:rPr>
                <w:rFonts w:cstheme="minorHAnsi"/>
                <w:b/>
              </w:rPr>
              <w:t>R</w:t>
            </w:r>
            <w:r w:rsidR="001A7200" w:rsidRPr="002F4AEB">
              <w:rPr>
                <w:rFonts w:cstheme="minorHAnsi"/>
                <w:b/>
              </w:rPr>
              <w:t>isk</w:t>
            </w:r>
            <w:r>
              <w:rPr>
                <w:rFonts w:cstheme="minorHAnsi"/>
                <w:b/>
              </w:rPr>
              <w:t>/concern</w:t>
            </w:r>
            <w:r w:rsidR="00D33C69">
              <w:rPr>
                <w:rFonts w:cstheme="minorHAnsi"/>
                <w:b/>
              </w:rPr>
              <w:t xml:space="preserve"> discussed</w:t>
            </w:r>
          </w:p>
        </w:tc>
        <w:tc>
          <w:tcPr>
            <w:tcW w:w="2742" w:type="dxa"/>
            <w:shd w:val="clear" w:color="auto" w:fill="E5B8B7" w:themeFill="accent2" w:themeFillTint="66"/>
          </w:tcPr>
          <w:p w:rsidR="001A7200" w:rsidRPr="002F4AEB" w:rsidRDefault="001A7200" w:rsidP="00B57A9B">
            <w:pPr>
              <w:jc w:val="left"/>
              <w:rPr>
                <w:rFonts w:cstheme="minorHAnsi"/>
                <w:b/>
              </w:rPr>
            </w:pPr>
            <w:r w:rsidRPr="002F4AEB">
              <w:rPr>
                <w:rFonts w:cstheme="minorHAnsi"/>
                <w:b/>
              </w:rPr>
              <w:t>Escalation to Steering (y/n)</w:t>
            </w:r>
          </w:p>
        </w:tc>
      </w:tr>
      <w:tr w:rsidR="001A7200" w:rsidRPr="00990D1F" w:rsidTr="004D53AB">
        <w:tc>
          <w:tcPr>
            <w:tcW w:w="2970" w:type="dxa"/>
          </w:tcPr>
          <w:p w:rsidR="001A7200" w:rsidRDefault="00262985" w:rsidP="006A0577">
            <w:pPr>
              <w:jc w:val="left"/>
              <w:rPr>
                <w:rFonts w:cstheme="minorHAnsi"/>
                <w:b/>
              </w:rPr>
            </w:pPr>
            <w:r>
              <w:rPr>
                <w:rFonts w:cstheme="minorHAnsi"/>
                <w:b/>
              </w:rPr>
              <w:t>Behavioral Health HIT Project</w:t>
            </w:r>
          </w:p>
        </w:tc>
        <w:tc>
          <w:tcPr>
            <w:tcW w:w="8550" w:type="dxa"/>
          </w:tcPr>
          <w:p w:rsidR="00E6028A" w:rsidRPr="007E4544" w:rsidRDefault="00262985" w:rsidP="00262985">
            <w:pPr>
              <w:jc w:val="left"/>
              <w:rPr>
                <w:rFonts w:cstheme="minorHAnsi"/>
              </w:rPr>
            </w:pPr>
            <w:r>
              <w:rPr>
                <w:rFonts w:cstheme="minorHAnsi"/>
                <w:u w:val="single"/>
              </w:rPr>
              <w:t>P</w:t>
            </w:r>
            <w:r w:rsidRPr="003A00EF">
              <w:rPr>
                <w:rFonts w:cstheme="minorHAnsi"/>
                <w:u w:val="single"/>
              </w:rPr>
              <w:t>otential risk</w:t>
            </w:r>
            <w:r>
              <w:rPr>
                <w:rFonts w:cstheme="minorHAnsi"/>
              </w:rPr>
              <w:t xml:space="preserve"> to achieving mental health data integration with the HIE: unclear patient consent communication/s may lead to unintentional full HIE “</w:t>
            </w:r>
            <w:r w:rsidR="00B41960">
              <w:rPr>
                <w:rFonts w:cstheme="minorHAnsi"/>
              </w:rPr>
              <w:t>opt-out</w:t>
            </w:r>
            <w:r>
              <w:rPr>
                <w:rFonts w:cstheme="minorHAnsi"/>
              </w:rPr>
              <w:t xml:space="preserve">”. </w:t>
            </w:r>
          </w:p>
        </w:tc>
        <w:tc>
          <w:tcPr>
            <w:tcW w:w="2742" w:type="dxa"/>
          </w:tcPr>
          <w:p w:rsidR="001A7200" w:rsidRPr="00990D1F" w:rsidRDefault="00720750" w:rsidP="006A0577">
            <w:pPr>
              <w:jc w:val="left"/>
              <w:rPr>
                <w:rFonts w:cstheme="minorHAnsi"/>
              </w:rPr>
            </w:pPr>
            <w:r>
              <w:rPr>
                <w:rFonts w:cstheme="minorHAnsi"/>
              </w:rPr>
              <w:t>N</w:t>
            </w:r>
          </w:p>
        </w:tc>
      </w:tr>
      <w:tr w:rsidR="004D53AB" w:rsidRPr="00990D1F" w:rsidTr="004D53AB">
        <w:trPr>
          <w:tblHeader/>
        </w:trPr>
        <w:tc>
          <w:tcPr>
            <w:tcW w:w="2970" w:type="dxa"/>
            <w:shd w:val="clear" w:color="auto" w:fill="1F497D" w:themeFill="text2"/>
          </w:tcPr>
          <w:p w:rsidR="004D53AB" w:rsidRPr="00990D1F" w:rsidRDefault="004D53AB" w:rsidP="00B57A9B">
            <w:pPr>
              <w:jc w:val="left"/>
              <w:rPr>
                <w:rFonts w:cstheme="minorHAnsi"/>
                <w:b/>
                <w:color w:val="FFFFFF" w:themeColor="background1"/>
              </w:rPr>
            </w:pPr>
            <w:r w:rsidRPr="00990D1F">
              <w:rPr>
                <w:rFonts w:cstheme="minorHAnsi"/>
                <w:b/>
                <w:color w:val="FFFFFF" w:themeColor="background1"/>
              </w:rPr>
              <w:t>Agenda</w:t>
            </w:r>
            <w:r>
              <w:rPr>
                <w:rFonts w:cstheme="minorHAnsi"/>
                <w:b/>
                <w:color w:val="FFFFFF" w:themeColor="background1"/>
              </w:rPr>
              <w:t xml:space="preserve"> Item</w:t>
            </w:r>
          </w:p>
        </w:tc>
        <w:tc>
          <w:tcPr>
            <w:tcW w:w="11292" w:type="dxa"/>
            <w:gridSpan w:val="2"/>
            <w:shd w:val="clear" w:color="auto" w:fill="1F497D" w:themeFill="text2"/>
          </w:tcPr>
          <w:p w:rsidR="004D53AB" w:rsidRPr="00990D1F" w:rsidRDefault="004D53AB" w:rsidP="00B57A9B">
            <w:pPr>
              <w:jc w:val="left"/>
              <w:rPr>
                <w:rFonts w:cstheme="minorHAnsi"/>
                <w:b/>
                <w:color w:val="FFFFFF" w:themeColor="background1"/>
              </w:rPr>
            </w:pPr>
            <w:r w:rsidRPr="00990D1F">
              <w:rPr>
                <w:rFonts w:cstheme="minorHAnsi"/>
                <w:b/>
                <w:color w:val="FFFFFF" w:themeColor="background1"/>
              </w:rPr>
              <w:t>Discussion</w:t>
            </w:r>
            <w:r>
              <w:rPr>
                <w:rFonts w:cstheme="minorHAnsi"/>
                <w:b/>
                <w:color w:val="FFFFFF" w:themeColor="background1"/>
              </w:rPr>
              <w:t xml:space="preserve"> Points and </w:t>
            </w:r>
            <w:r w:rsidRPr="00990D1F">
              <w:rPr>
                <w:rFonts w:cstheme="minorHAnsi"/>
                <w:b/>
                <w:color w:val="FFFFFF" w:themeColor="background1"/>
              </w:rPr>
              <w:t>Decisions</w:t>
            </w:r>
          </w:p>
        </w:tc>
      </w:tr>
      <w:tr w:rsidR="004D53AB" w:rsidRPr="00990D1F" w:rsidTr="004D53AB">
        <w:tc>
          <w:tcPr>
            <w:tcW w:w="2970" w:type="dxa"/>
          </w:tcPr>
          <w:p w:rsidR="004D53AB" w:rsidRDefault="00720750" w:rsidP="00CF6EF2">
            <w:pPr>
              <w:jc w:val="left"/>
              <w:rPr>
                <w:rFonts w:cstheme="minorHAnsi"/>
                <w:b/>
              </w:rPr>
            </w:pPr>
            <w:r>
              <w:rPr>
                <w:rFonts w:cstheme="minorHAnsi"/>
                <w:b/>
              </w:rPr>
              <w:t>Agenda and Introductions</w:t>
            </w:r>
          </w:p>
        </w:tc>
        <w:tc>
          <w:tcPr>
            <w:tcW w:w="11292" w:type="dxa"/>
            <w:gridSpan w:val="2"/>
          </w:tcPr>
          <w:p w:rsidR="00E37661" w:rsidRDefault="004E150F" w:rsidP="00720750">
            <w:pPr>
              <w:pStyle w:val="ListParagraph"/>
              <w:numPr>
                <w:ilvl w:val="0"/>
                <w:numId w:val="33"/>
              </w:numPr>
              <w:ind w:left="702"/>
              <w:jc w:val="left"/>
              <w:rPr>
                <w:rFonts w:cstheme="minorHAnsi"/>
              </w:rPr>
            </w:pPr>
            <w:r>
              <w:rPr>
                <w:rFonts w:cstheme="minorHAnsi"/>
              </w:rPr>
              <w:t xml:space="preserve">Reviewed agenda “Primary goals for the meeting” </w:t>
            </w:r>
          </w:p>
          <w:p w:rsidR="00720750" w:rsidRPr="00B76C72" w:rsidRDefault="00720750" w:rsidP="00720750">
            <w:pPr>
              <w:pStyle w:val="ListParagraph"/>
              <w:numPr>
                <w:ilvl w:val="0"/>
                <w:numId w:val="33"/>
              </w:numPr>
              <w:ind w:left="702"/>
              <w:jc w:val="left"/>
              <w:rPr>
                <w:rFonts w:cstheme="minorHAnsi"/>
              </w:rPr>
            </w:pPr>
            <w:r>
              <w:rPr>
                <w:rFonts w:cstheme="minorHAnsi"/>
              </w:rPr>
              <w:t>Introduction of members for attendance</w:t>
            </w:r>
          </w:p>
        </w:tc>
      </w:tr>
      <w:tr w:rsidR="004D53AB" w:rsidRPr="00990D1F" w:rsidTr="004D53AB">
        <w:trPr>
          <w:trHeight w:val="872"/>
        </w:trPr>
        <w:tc>
          <w:tcPr>
            <w:tcW w:w="2970" w:type="dxa"/>
          </w:tcPr>
          <w:p w:rsidR="004D53AB" w:rsidRDefault="00720750" w:rsidP="00DA3157">
            <w:pPr>
              <w:jc w:val="left"/>
              <w:rPr>
                <w:rFonts w:cstheme="minorHAnsi"/>
                <w:b/>
              </w:rPr>
            </w:pPr>
            <w:r>
              <w:rPr>
                <w:rFonts w:cstheme="minorHAnsi"/>
                <w:b/>
              </w:rPr>
              <w:t>Review and Adoption of Minutes</w:t>
            </w:r>
          </w:p>
        </w:tc>
        <w:tc>
          <w:tcPr>
            <w:tcW w:w="11292" w:type="dxa"/>
            <w:gridSpan w:val="2"/>
          </w:tcPr>
          <w:p w:rsidR="00E37661" w:rsidRDefault="00720750" w:rsidP="00720750">
            <w:pPr>
              <w:pStyle w:val="ListParagraph"/>
              <w:numPr>
                <w:ilvl w:val="0"/>
                <w:numId w:val="34"/>
              </w:numPr>
              <w:ind w:left="702"/>
              <w:jc w:val="left"/>
              <w:rPr>
                <w:rFonts w:cstheme="minorHAnsi"/>
              </w:rPr>
            </w:pPr>
            <w:r>
              <w:rPr>
                <w:rFonts w:cstheme="minorHAnsi"/>
              </w:rPr>
              <w:t>Chuck suggested that the statement: “If providers participating in the HIE is a risk, which is up for debate, then just as much of a risk is those that are participating (with a contract) but are not using the tools, aka not implemented use across their organization for use” is confusing and needs clarification. Since the last meeting this risk was removed from the SIM Risk Mitigation plan. Katie will update the minutes with a brief comment about the status as of 4/16/14.</w:t>
            </w:r>
          </w:p>
          <w:p w:rsidR="00720750" w:rsidRPr="003E6849" w:rsidRDefault="00720750" w:rsidP="00720750">
            <w:pPr>
              <w:pStyle w:val="ListParagraph"/>
              <w:numPr>
                <w:ilvl w:val="0"/>
                <w:numId w:val="34"/>
              </w:numPr>
              <w:ind w:left="702"/>
              <w:jc w:val="left"/>
              <w:rPr>
                <w:rFonts w:cstheme="minorHAnsi"/>
              </w:rPr>
            </w:pPr>
            <w:r>
              <w:rPr>
                <w:rFonts w:cstheme="minorHAnsi"/>
              </w:rPr>
              <w:t>Minutes were approved and adopted with the edit by Katie.</w:t>
            </w:r>
          </w:p>
        </w:tc>
      </w:tr>
      <w:tr w:rsidR="00A44F0C" w:rsidRPr="00990D1F" w:rsidTr="004D53AB">
        <w:tc>
          <w:tcPr>
            <w:tcW w:w="2970" w:type="dxa"/>
          </w:tcPr>
          <w:p w:rsidR="00A44F0C" w:rsidRPr="005F4D9C" w:rsidRDefault="00720750" w:rsidP="00D814BE">
            <w:pPr>
              <w:pStyle w:val="Formal1"/>
              <w:rPr>
                <w:rFonts w:asciiTheme="minorHAnsi" w:hAnsiTheme="minorHAnsi" w:cstheme="minorHAnsi"/>
                <w:b/>
                <w:bCs/>
                <w:sz w:val="22"/>
                <w:szCs w:val="22"/>
              </w:rPr>
            </w:pPr>
            <w:r>
              <w:rPr>
                <w:rFonts w:asciiTheme="minorHAnsi" w:hAnsiTheme="minorHAnsi" w:cstheme="minorHAnsi"/>
                <w:b/>
                <w:bCs/>
                <w:sz w:val="22"/>
                <w:szCs w:val="22"/>
              </w:rPr>
              <w:t>Project Updates</w:t>
            </w:r>
          </w:p>
        </w:tc>
        <w:tc>
          <w:tcPr>
            <w:tcW w:w="11292" w:type="dxa"/>
            <w:gridSpan w:val="2"/>
          </w:tcPr>
          <w:p w:rsidR="00373026" w:rsidRDefault="00720750" w:rsidP="00720750">
            <w:pPr>
              <w:pStyle w:val="ListParagraph"/>
              <w:numPr>
                <w:ilvl w:val="0"/>
                <w:numId w:val="35"/>
              </w:numPr>
              <w:jc w:val="left"/>
              <w:rPr>
                <w:rFonts w:cstheme="minorHAnsi"/>
              </w:rPr>
            </w:pPr>
            <w:r>
              <w:rPr>
                <w:rFonts w:cstheme="minorHAnsi"/>
              </w:rPr>
              <w:t>Katie reviewed the status of HIN projects that have been presented to the DI Subcommittee thus far</w:t>
            </w:r>
            <w:r w:rsidR="00546E39">
              <w:rPr>
                <w:rFonts w:cstheme="minorHAnsi"/>
              </w:rPr>
              <w:t>:</w:t>
            </w:r>
          </w:p>
          <w:p w:rsidR="00546E39" w:rsidRDefault="00546E39" w:rsidP="00546E39">
            <w:pPr>
              <w:pStyle w:val="ListParagraph"/>
              <w:numPr>
                <w:ilvl w:val="1"/>
                <w:numId w:val="35"/>
              </w:numPr>
              <w:jc w:val="left"/>
              <w:rPr>
                <w:rFonts w:cstheme="minorHAnsi"/>
              </w:rPr>
            </w:pPr>
            <w:r>
              <w:rPr>
                <w:rFonts w:cstheme="minorHAnsi"/>
              </w:rPr>
              <w:t>Patient Portal-HIE Blue Button Project planning is underway with EMHS</w:t>
            </w:r>
            <w:r w:rsidR="004E150F">
              <w:rPr>
                <w:rFonts w:cstheme="minorHAnsi"/>
              </w:rPr>
              <w:t xml:space="preserve">. Official launch is June 2014. </w:t>
            </w:r>
          </w:p>
          <w:p w:rsidR="00546E39" w:rsidRPr="00720750" w:rsidRDefault="00546E39" w:rsidP="00546E39">
            <w:pPr>
              <w:pStyle w:val="ListParagraph"/>
              <w:numPr>
                <w:ilvl w:val="1"/>
                <w:numId w:val="35"/>
              </w:numPr>
              <w:jc w:val="left"/>
              <w:rPr>
                <w:rFonts w:cstheme="minorHAnsi"/>
              </w:rPr>
            </w:pPr>
            <w:r>
              <w:rPr>
                <w:rFonts w:cstheme="minorHAnsi"/>
              </w:rPr>
              <w:t>26 applicants for the BH HIT RFP were scored and 20 organizations were tentatively awarded. Applicants have been notified of acceptance and contracts with HIN have been distributed. Official launch of the initiative will begin on May 13</w:t>
            </w:r>
            <w:r w:rsidRPr="00546E39">
              <w:rPr>
                <w:rFonts w:cstheme="minorHAnsi"/>
                <w:vertAlign w:val="superscript"/>
              </w:rPr>
              <w:t>th</w:t>
            </w:r>
            <w:r>
              <w:rPr>
                <w:rFonts w:cstheme="minorHAnsi"/>
              </w:rPr>
              <w:t xml:space="preserve">. </w:t>
            </w:r>
          </w:p>
        </w:tc>
      </w:tr>
      <w:tr w:rsidR="000B45F8" w:rsidRPr="00990D1F" w:rsidTr="004D53AB">
        <w:tc>
          <w:tcPr>
            <w:tcW w:w="2970" w:type="dxa"/>
          </w:tcPr>
          <w:p w:rsidR="000B45F8" w:rsidRDefault="00546E39" w:rsidP="00D814BE">
            <w:pPr>
              <w:pStyle w:val="Formal1"/>
              <w:rPr>
                <w:rFonts w:asciiTheme="minorHAnsi" w:hAnsiTheme="minorHAnsi" w:cstheme="minorHAnsi"/>
                <w:b/>
                <w:bCs/>
                <w:sz w:val="22"/>
                <w:szCs w:val="22"/>
              </w:rPr>
            </w:pPr>
            <w:r>
              <w:rPr>
                <w:rFonts w:asciiTheme="minorHAnsi" w:hAnsiTheme="minorHAnsi" w:cstheme="minorHAnsi"/>
                <w:b/>
                <w:bCs/>
                <w:sz w:val="22"/>
                <w:szCs w:val="22"/>
              </w:rPr>
              <w:t>HIN’s SIM HIE Notification Project</w:t>
            </w:r>
          </w:p>
        </w:tc>
        <w:tc>
          <w:tcPr>
            <w:tcW w:w="11292" w:type="dxa"/>
            <w:gridSpan w:val="2"/>
          </w:tcPr>
          <w:p w:rsidR="00D94889" w:rsidRDefault="00546E39" w:rsidP="00546E39">
            <w:pPr>
              <w:pStyle w:val="ListParagraph"/>
              <w:numPr>
                <w:ilvl w:val="0"/>
                <w:numId w:val="35"/>
              </w:numPr>
              <w:jc w:val="left"/>
              <w:rPr>
                <w:rFonts w:cstheme="minorHAnsi"/>
              </w:rPr>
            </w:pPr>
            <w:r>
              <w:rPr>
                <w:rFonts w:cstheme="minorHAnsi"/>
              </w:rPr>
              <w:t>Shaun Alfreds provided an overview of HIN’s SIM HIE Notification project. Under SIM, HIN will provide MaineCare care managers real-notifications for a sub-populati</w:t>
            </w:r>
            <w:r w:rsidR="004E150F">
              <w:rPr>
                <w:rFonts w:cstheme="minorHAnsi"/>
              </w:rPr>
              <w:t>on of MaineCare members who targeted for intervention related to high ED and/or</w:t>
            </w:r>
            <w:r>
              <w:rPr>
                <w:rFonts w:cstheme="minorHAnsi"/>
              </w:rPr>
              <w:t xml:space="preserve"> inpatient admissions. Medical record information from HIN’s HIE will be released to MaineCare care managers on behalf of the provider delivering care through a secure email.</w:t>
            </w:r>
          </w:p>
          <w:p w:rsidR="0082724B" w:rsidRDefault="0082724B" w:rsidP="00546E39">
            <w:pPr>
              <w:pStyle w:val="ListParagraph"/>
              <w:numPr>
                <w:ilvl w:val="0"/>
                <w:numId w:val="35"/>
              </w:numPr>
              <w:jc w:val="left"/>
              <w:rPr>
                <w:rFonts w:cstheme="minorHAnsi"/>
              </w:rPr>
            </w:pPr>
            <w:r>
              <w:rPr>
                <w:rFonts w:cstheme="minorHAnsi"/>
              </w:rPr>
              <w:t xml:space="preserve">HIN currently offers notifications as part of its core services to subscribers. </w:t>
            </w:r>
            <w:r w:rsidR="00C43648">
              <w:rPr>
                <w:rFonts w:cstheme="minorHAnsi"/>
              </w:rPr>
              <w:t>The number of providers using notifications ha</w:t>
            </w:r>
            <w:r w:rsidR="004E150F">
              <w:rPr>
                <w:rFonts w:cstheme="minorHAnsi"/>
              </w:rPr>
              <w:t>s increased significantly in</w:t>
            </w:r>
            <w:r w:rsidR="00C43648">
              <w:rPr>
                <w:rFonts w:cstheme="minorHAnsi"/>
              </w:rPr>
              <w:t xml:space="preserve"> recent months.</w:t>
            </w:r>
          </w:p>
          <w:p w:rsidR="00C43648" w:rsidRDefault="00C43648" w:rsidP="00546E39">
            <w:pPr>
              <w:pStyle w:val="ListParagraph"/>
              <w:numPr>
                <w:ilvl w:val="0"/>
                <w:numId w:val="35"/>
              </w:numPr>
              <w:jc w:val="left"/>
              <w:rPr>
                <w:rFonts w:cstheme="minorHAnsi"/>
              </w:rPr>
            </w:pPr>
            <w:r>
              <w:rPr>
                <w:rFonts w:cstheme="minorHAnsi"/>
              </w:rPr>
              <w:t>Shaun gave a short demonstration on how the notifications work within the HIE.</w:t>
            </w:r>
          </w:p>
          <w:p w:rsidR="004E150F" w:rsidRDefault="004E150F" w:rsidP="00546E39">
            <w:pPr>
              <w:pStyle w:val="ListParagraph"/>
              <w:numPr>
                <w:ilvl w:val="0"/>
                <w:numId w:val="35"/>
              </w:numPr>
              <w:jc w:val="left"/>
              <w:rPr>
                <w:rFonts w:cstheme="minorHAnsi"/>
              </w:rPr>
            </w:pPr>
            <w:r>
              <w:rPr>
                <w:rFonts w:cstheme="minorHAnsi"/>
              </w:rPr>
              <w:t xml:space="preserve">It was noted that this is the first project that allows Protected Health Information to be released from the HIE to an insurance payer (MaineCare). </w:t>
            </w:r>
            <w:r w:rsidR="00F95A3C">
              <w:rPr>
                <w:rFonts w:cstheme="minorHAnsi"/>
              </w:rPr>
              <w:t xml:space="preserve">This is allowed by the agreement of the providers who share this data with the HIE. </w:t>
            </w:r>
          </w:p>
        </w:tc>
      </w:tr>
      <w:tr w:rsidR="004D53AB" w:rsidRPr="00990D1F" w:rsidTr="004D53AB">
        <w:tc>
          <w:tcPr>
            <w:tcW w:w="2970" w:type="dxa"/>
          </w:tcPr>
          <w:p w:rsidR="004D53AB" w:rsidRDefault="00C43648" w:rsidP="00D814BE">
            <w:pPr>
              <w:pStyle w:val="Formal1"/>
              <w:spacing w:after="0"/>
              <w:rPr>
                <w:rFonts w:asciiTheme="minorHAnsi" w:hAnsiTheme="minorHAnsi" w:cstheme="minorHAnsi"/>
                <w:b/>
                <w:sz w:val="22"/>
              </w:rPr>
            </w:pPr>
            <w:r w:rsidRPr="00C43648">
              <w:rPr>
                <w:rFonts w:asciiTheme="minorHAnsi" w:hAnsiTheme="minorHAnsi" w:cstheme="minorHAnsi"/>
                <w:b/>
                <w:sz w:val="22"/>
              </w:rPr>
              <w:t>Behavioral Health HIT Project (RFP)</w:t>
            </w:r>
            <w:r w:rsidR="003A00EF">
              <w:rPr>
                <w:rFonts w:asciiTheme="minorHAnsi" w:hAnsiTheme="minorHAnsi" w:cstheme="minorHAnsi"/>
                <w:b/>
                <w:sz w:val="22"/>
              </w:rPr>
              <w:t>- Mental Health Data Infrastructure Discussion</w:t>
            </w:r>
          </w:p>
          <w:p w:rsidR="003A00EF" w:rsidRPr="003A00EF" w:rsidRDefault="003A00EF" w:rsidP="003A00EF">
            <w:pPr>
              <w:pStyle w:val="Formal1"/>
              <w:numPr>
                <w:ilvl w:val="0"/>
                <w:numId w:val="38"/>
              </w:numPr>
              <w:spacing w:after="0"/>
              <w:rPr>
                <w:rFonts w:asciiTheme="minorHAnsi" w:hAnsiTheme="minorHAnsi" w:cstheme="minorHAnsi"/>
                <w:b/>
              </w:rPr>
            </w:pPr>
            <w:r>
              <w:rPr>
                <w:rFonts w:asciiTheme="minorHAnsi" w:hAnsiTheme="minorHAnsi" w:cstheme="minorHAnsi"/>
                <w:b/>
                <w:sz w:val="22"/>
              </w:rPr>
              <w:t>Current State vs.</w:t>
            </w:r>
          </w:p>
          <w:p w:rsidR="003A00EF" w:rsidRPr="00C43648" w:rsidRDefault="003A00EF" w:rsidP="003A00EF">
            <w:pPr>
              <w:pStyle w:val="Formal1"/>
              <w:numPr>
                <w:ilvl w:val="0"/>
                <w:numId w:val="38"/>
              </w:numPr>
              <w:spacing w:after="0"/>
              <w:rPr>
                <w:rFonts w:asciiTheme="minorHAnsi" w:hAnsiTheme="minorHAnsi" w:cstheme="minorHAnsi"/>
                <w:b/>
              </w:rPr>
            </w:pPr>
            <w:r>
              <w:rPr>
                <w:rFonts w:asciiTheme="minorHAnsi" w:hAnsiTheme="minorHAnsi" w:cstheme="minorHAnsi"/>
                <w:b/>
                <w:sz w:val="22"/>
              </w:rPr>
              <w:t>Transformation</w:t>
            </w:r>
          </w:p>
        </w:tc>
        <w:tc>
          <w:tcPr>
            <w:tcW w:w="11292" w:type="dxa"/>
            <w:gridSpan w:val="2"/>
          </w:tcPr>
          <w:p w:rsidR="00797A73" w:rsidRDefault="00C43648" w:rsidP="00C43648">
            <w:pPr>
              <w:pStyle w:val="ListParagraph"/>
              <w:numPr>
                <w:ilvl w:val="0"/>
                <w:numId w:val="36"/>
              </w:numPr>
              <w:tabs>
                <w:tab w:val="left" w:pos="1125"/>
              </w:tabs>
              <w:ind w:left="702"/>
              <w:jc w:val="left"/>
              <w:rPr>
                <w:rFonts w:cstheme="minorHAnsi"/>
              </w:rPr>
            </w:pPr>
            <w:r>
              <w:rPr>
                <w:rFonts w:cstheme="minorHAnsi"/>
              </w:rPr>
              <w:t xml:space="preserve">Katie provided an overview of HIN’s </w:t>
            </w:r>
            <w:r w:rsidR="00FF2AF5">
              <w:rPr>
                <w:rFonts w:cstheme="minorHAnsi"/>
              </w:rPr>
              <w:t>first 6 month Implementation Strategy for the BH HIT Project. Implementation Strategy includes: project plans/timelines, communication strategy, collaboration/partnerships, and staff and patient education development. HIN plans to leverage other related SIM BH initiatives</w:t>
            </w:r>
            <w:r w:rsidR="00F95A3C">
              <w:rPr>
                <w:rFonts w:cstheme="minorHAnsi"/>
              </w:rPr>
              <w:t xml:space="preserve"> to reduce the time commitment of these participating organizations (such as the ‘Health Homes’ forums/collaborative etc.)</w:t>
            </w:r>
            <w:r w:rsidR="00FF2AF5">
              <w:rPr>
                <w:rFonts w:cstheme="minorHAnsi"/>
              </w:rPr>
              <w:t xml:space="preserve">. </w:t>
            </w:r>
          </w:p>
          <w:p w:rsidR="003A00EF" w:rsidRDefault="00FF2AF5" w:rsidP="00C43648">
            <w:pPr>
              <w:pStyle w:val="ListParagraph"/>
              <w:numPr>
                <w:ilvl w:val="0"/>
                <w:numId w:val="36"/>
              </w:numPr>
              <w:tabs>
                <w:tab w:val="left" w:pos="1125"/>
              </w:tabs>
              <w:ind w:left="702"/>
              <w:jc w:val="left"/>
              <w:rPr>
                <w:rFonts w:cstheme="minorHAnsi"/>
              </w:rPr>
            </w:pPr>
            <w:r>
              <w:rPr>
                <w:rFonts w:cstheme="minorHAnsi"/>
              </w:rPr>
              <w:t xml:space="preserve">Katie and Shaun reviewed the </w:t>
            </w:r>
            <w:r w:rsidR="003A00EF">
              <w:rPr>
                <w:rFonts w:cstheme="minorHAnsi"/>
              </w:rPr>
              <w:t xml:space="preserve">HIE mental health data infrastructure details and reviewed the relative </w:t>
            </w:r>
            <w:r>
              <w:rPr>
                <w:rFonts w:cstheme="minorHAnsi"/>
              </w:rPr>
              <w:t xml:space="preserve">Maine laws regarding health information </w:t>
            </w:r>
            <w:r w:rsidR="00F95A3C">
              <w:rPr>
                <w:rFonts w:cstheme="minorHAnsi"/>
              </w:rPr>
              <w:t xml:space="preserve">exchange </w:t>
            </w:r>
            <w:r>
              <w:rPr>
                <w:rFonts w:cstheme="minorHAnsi"/>
              </w:rPr>
              <w:t>consent</w:t>
            </w:r>
            <w:r w:rsidR="003A00EF">
              <w:rPr>
                <w:rFonts w:cstheme="minorHAnsi"/>
              </w:rPr>
              <w:t xml:space="preserve"> that were adopted in 2011</w:t>
            </w:r>
            <w:r>
              <w:rPr>
                <w:rFonts w:cstheme="minorHAnsi"/>
              </w:rPr>
              <w:t xml:space="preserve">. </w:t>
            </w:r>
          </w:p>
          <w:p w:rsidR="003A00EF" w:rsidRDefault="003A00EF" w:rsidP="00C43648">
            <w:pPr>
              <w:pStyle w:val="ListParagraph"/>
              <w:numPr>
                <w:ilvl w:val="0"/>
                <w:numId w:val="36"/>
              </w:numPr>
              <w:tabs>
                <w:tab w:val="left" w:pos="1125"/>
              </w:tabs>
              <w:ind w:left="702"/>
              <w:jc w:val="left"/>
              <w:rPr>
                <w:rFonts w:cstheme="minorHAnsi"/>
              </w:rPr>
            </w:pPr>
            <w:r>
              <w:rPr>
                <w:rFonts w:cstheme="minorHAnsi"/>
              </w:rPr>
              <w:t xml:space="preserve">Maine HIE consent to share information were reviewed (slides have more detail, this is a brief summary): </w:t>
            </w:r>
          </w:p>
          <w:p w:rsidR="00A81534" w:rsidRDefault="00FF2AF5" w:rsidP="003A00EF">
            <w:pPr>
              <w:pStyle w:val="ListParagraph"/>
              <w:numPr>
                <w:ilvl w:val="1"/>
                <w:numId w:val="36"/>
              </w:numPr>
              <w:tabs>
                <w:tab w:val="left" w:pos="1125"/>
              </w:tabs>
              <w:jc w:val="left"/>
              <w:rPr>
                <w:rFonts w:cstheme="minorHAnsi"/>
              </w:rPr>
            </w:pPr>
            <w:r>
              <w:rPr>
                <w:rFonts w:cstheme="minorHAnsi"/>
              </w:rPr>
              <w:t>Maine residents have three options for sharing behavioral/mental health</w:t>
            </w:r>
            <w:r w:rsidR="00F95A3C">
              <w:rPr>
                <w:rFonts w:cstheme="minorHAnsi"/>
              </w:rPr>
              <w:t xml:space="preserve"> (and HIV)</w:t>
            </w:r>
            <w:r>
              <w:rPr>
                <w:rFonts w:cstheme="minorHAnsi"/>
              </w:rPr>
              <w:t xml:space="preserve"> information: </w:t>
            </w:r>
            <w:r w:rsidR="003A00EF">
              <w:rPr>
                <w:rFonts w:cstheme="minorHAnsi"/>
              </w:rPr>
              <w:t xml:space="preserve">   </w:t>
            </w:r>
            <w:r w:rsidRPr="003A00EF">
              <w:rPr>
                <w:rFonts w:cstheme="minorHAnsi"/>
                <w:b/>
              </w:rPr>
              <w:t>1)</w:t>
            </w:r>
            <w:r>
              <w:rPr>
                <w:rFonts w:cstheme="minorHAnsi"/>
              </w:rPr>
              <w:t xml:space="preserve"> patient can choose to opt-out all health information (mental and physical health), </w:t>
            </w:r>
            <w:r w:rsidRPr="003A00EF">
              <w:rPr>
                <w:rFonts w:cstheme="minorHAnsi"/>
                <w:b/>
              </w:rPr>
              <w:t>2)</w:t>
            </w:r>
            <w:r>
              <w:rPr>
                <w:rFonts w:cstheme="minorHAnsi"/>
              </w:rPr>
              <w:t xml:space="preserve"> patient chooses not to “opt-in;” but gives consent for the provider to “break the glass” at that point in time, and </w:t>
            </w:r>
            <w:r w:rsidRPr="003A00EF">
              <w:rPr>
                <w:rFonts w:cstheme="minorHAnsi"/>
                <w:b/>
              </w:rPr>
              <w:t>3)</w:t>
            </w:r>
            <w:r>
              <w:rPr>
                <w:rFonts w:cstheme="minorHAnsi"/>
              </w:rPr>
              <w:t xml:space="preserve"> patient choose</w:t>
            </w:r>
            <w:r w:rsidR="00A81534">
              <w:rPr>
                <w:rFonts w:cstheme="minorHAnsi"/>
              </w:rPr>
              <w:t>s to “opt-in” mental health/HIV data to make this data available to all HIE provider users without having to break the glass.  Dawn Gallagher commented that we are really lucky that Maine has an opt-out consent law</w:t>
            </w:r>
            <w:r w:rsidR="00F95A3C">
              <w:rPr>
                <w:rFonts w:cstheme="minorHAnsi"/>
              </w:rPr>
              <w:t xml:space="preserve"> for general medical data- in that it reduces the burden for the population to share their data across the continuum of care</w:t>
            </w:r>
            <w:r w:rsidR="00A81534">
              <w:rPr>
                <w:rFonts w:cstheme="minorHAnsi"/>
              </w:rPr>
              <w:t xml:space="preserve">. Shaun stated that currently 92% of the Maine population has a record </w:t>
            </w:r>
            <w:r w:rsidR="00F95A3C">
              <w:rPr>
                <w:rFonts w:cstheme="minorHAnsi"/>
              </w:rPr>
              <w:t xml:space="preserve">available </w:t>
            </w:r>
            <w:r w:rsidR="00A81534">
              <w:rPr>
                <w:rFonts w:cstheme="minorHAnsi"/>
              </w:rPr>
              <w:t xml:space="preserve">in the HIE. </w:t>
            </w:r>
          </w:p>
          <w:p w:rsidR="00F95A3C" w:rsidRDefault="00A81534" w:rsidP="00F95A3C">
            <w:pPr>
              <w:pStyle w:val="ListParagraph"/>
              <w:numPr>
                <w:ilvl w:val="0"/>
                <w:numId w:val="36"/>
              </w:numPr>
              <w:tabs>
                <w:tab w:val="left" w:pos="1125"/>
              </w:tabs>
              <w:ind w:left="702"/>
              <w:jc w:val="left"/>
              <w:rPr>
                <w:rFonts w:cstheme="minorHAnsi"/>
              </w:rPr>
            </w:pPr>
            <w:r>
              <w:rPr>
                <w:rFonts w:cstheme="minorHAnsi"/>
              </w:rPr>
              <w:t>Nancy Birkhimer asked about minor consent</w:t>
            </w:r>
            <w:r w:rsidR="00F95A3C">
              <w:rPr>
                <w:rFonts w:cstheme="minorHAnsi"/>
              </w:rPr>
              <w:t xml:space="preserve"> and suggested that this is the detail that appears to be missing from the presentation today</w:t>
            </w:r>
            <w:r w:rsidR="00F61A05">
              <w:rPr>
                <w:rFonts w:cstheme="minorHAnsi"/>
              </w:rPr>
              <w:t xml:space="preserve">. </w:t>
            </w:r>
            <w:r w:rsidR="00F95A3C">
              <w:rPr>
                <w:rFonts w:cstheme="minorHAnsi"/>
              </w:rPr>
              <w:t xml:space="preserve">On-going discussion is required by all parties to improve understanding on this complex nature. </w:t>
            </w:r>
            <w:r w:rsidR="00D7355F">
              <w:rPr>
                <w:rFonts w:cstheme="minorHAnsi"/>
              </w:rPr>
              <w:t xml:space="preserve">Shaun mentioned that perhaps the IHOC pilot working with consent of minors in the Foster Care program for the state could potentially shed some learning’s on this topic. </w:t>
            </w:r>
          </w:p>
          <w:p w:rsidR="00B96AB9" w:rsidRDefault="00A81534" w:rsidP="00D7355F">
            <w:pPr>
              <w:pStyle w:val="ListParagraph"/>
              <w:numPr>
                <w:ilvl w:val="0"/>
                <w:numId w:val="36"/>
              </w:numPr>
              <w:tabs>
                <w:tab w:val="left" w:pos="1125"/>
              </w:tabs>
              <w:ind w:left="702"/>
              <w:jc w:val="left"/>
              <w:rPr>
                <w:rFonts w:cstheme="minorHAnsi"/>
              </w:rPr>
            </w:pPr>
            <w:r>
              <w:rPr>
                <w:rFonts w:cstheme="minorHAnsi"/>
              </w:rPr>
              <w:t xml:space="preserve"> Margaret Longsworth shared that s</w:t>
            </w:r>
            <w:r w:rsidR="00D7355F">
              <w:rPr>
                <w:rFonts w:cstheme="minorHAnsi"/>
              </w:rPr>
              <w:t>ome case managers chaperoning intellectually</w:t>
            </w:r>
            <w:r>
              <w:rPr>
                <w:rFonts w:cstheme="minorHAnsi"/>
              </w:rPr>
              <w:t xml:space="preserve"> impaired client</w:t>
            </w:r>
            <w:r w:rsidR="00D7355F">
              <w:rPr>
                <w:rFonts w:cstheme="minorHAnsi"/>
              </w:rPr>
              <w:t>s</w:t>
            </w:r>
            <w:r>
              <w:rPr>
                <w:rFonts w:cstheme="minorHAnsi"/>
              </w:rPr>
              <w:t xml:space="preserve"> were interrupting providers reviewing HIN consent forms saying that they (the case manager) already reviewed consent f</w:t>
            </w:r>
            <w:r w:rsidR="006F4DA3">
              <w:rPr>
                <w:rFonts w:cstheme="minorHAnsi"/>
              </w:rPr>
              <w:t xml:space="preserve">orms with the client. </w:t>
            </w:r>
            <w:r w:rsidR="00B96AB9">
              <w:rPr>
                <w:rFonts w:cstheme="minorHAnsi"/>
              </w:rPr>
              <w:t xml:space="preserve">BH providers will need to discuss and use common talking points with clients and such case managers in order to help them understand that is critical to the consent process for they themselves to engage the client at intake and discuss the HIE consent process, even if they also have discuss this. HIN agrees with this approach. </w:t>
            </w:r>
          </w:p>
          <w:p w:rsidR="00FF2AF5" w:rsidRPr="00D94889" w:rsidRDefault="006F4DA3" w:rsidP="00B96AB9">
            <w:pPr>
              <w:pStyle w:val="ListParagraph"/>
              <w:numPr>
                <w:ilvl w:val="0"/>
                <w:numId w:val="36"/>
              </w:numPr>
              <w:tabs>
                <w:tab w:val="left" w:pos="1125"/>
              </w:tabs>
              <w:ind w:left="702"/>
              <w:jc w:val="left"/>
              <w:rPr>
                <w:rFonts w:cstheme="minorHAnsi"/>
              </w:rPr>
            </w:pPr>
            <w:r>
              <w:rPr>
                <w:rFonts w:cstheme="minorHAnsi"/>
              </w:rPr>
              <w:t xml:space="preserve">Margaret </w:t>
            </w:r>
            <w:r w:rsidR="00B96AB9">
              <w:rPr>
                <w:rFonts w:cstheme="minorHAnsi"/>
              </w:rPr>
              <w:t xml:space="preserve">rose what is a </w:t>
            </w:r>
            <w:r w:rsidR="00B96AB9" w:rsidRPr="003A00EF">
              <w:rPr>
                <w:rFonts w:cstheme="minorHAnsi"/>
                <w:u w:val="single"/>
              </w:rPr>
              <w:t>potential risk</w:t>
            </w:r>
            <w:r w:rsidR="00B96AB9">
              <w:rPr>
                <w:rFonts w:cstheme="minorHAnsi"/>
              </w:rPr>
              <w:t xml:space="preserve"> to achieving mental health data integration with the HIE in that- if BH </w:t>
            </w:r>
            <w:r>
              <w:rPr>
                <w:rFonts w:cstheme="minorHAnsi"/>
              </w:rPr>
              <w:t xml:space="preserve">providers </w:t>
            </w:r>
            <w:r w:rsidR="00B96AB9">
              <w:rPr>
                <w:rFonts w:cstheme="minorHAnsi"/>
              </w:rPr>
              <w:t xml:space="preserve">“don’t get the consent conversation right the first time” the patient/client may be confused and inadvertently “opt-out” altogether. If that is the clear choice, to opt-out, then of course this is acceptable. </w:t>
            </w:r>
            <w:r>
              <w:rPr>
                <w:rFonts w:cstheme="minorHAnsi"/>
              </w:rPr>
              <w:t xml:space="preserve"> HIN consent patient education and a majority of the patients will opt-out completely. Margaret pointed out the importance of proper patient and provider education regarding how to address consent with patients.</w:t>
            </w:r>
            <w:r w:rsidR="00A81534">
              <w:rPr>
                <w:rFonts w:cstheme="minorHAnsi"/>
              </w:rPr>
              <w:t xml:space="preserve">   </w:t>
            </w:r>
            <w:r w:rsidR="00FF2AF5">
              <w:rPr>
                <w:rFonts w:cstheme="minorHAnsi"/>
              </w:rPr>
              <w:t xml:space="preserve">  </w:t>
            </w:r>
          </w:p>
        </w:tc>
      </w:tr>
      <w:tr w:rsidR="00D814BE" w:rsidRPr="00990D1F" w:rsidTr="004D53AB">
        <w:tc>
          <w:tcPr>
            <w:tcW w:w="2970" w:type="dxa"/>
          </w:tcPr>
          <w:p w:rsidR="00D814BE" w:rsidRPr="005F4D9C" w:rsidRDefault="006F4DA3" w:rsidP="00D814BE">
            <w:pPr>
              <w:pStyle w:val="Formal1"/>
              <w:rPr>
                <w:rFonts w:asciiTheme="minorHAnsi" w:hAnsiTheme="minorHAnsi" w:cstheme="minorHAnsi"/>
                <w:b/>
                <w:bCs/>
                <w:sz w:val="22"/>
                <w:szCs w:val="22"/>
              </w:rPr>
            </w:pPr>
            <w:r>
              <w:rPr>
                <w:rFonts w:asciiTheme="minorHAnsi" w:hAnsiTheme="minorHAnsi" w:cstheme="minorHAnsi"/>
                <w:b/>
                <w:bCs/>
                <w:sz w:val="22"/>
                <w:szCs w:val="22"/>
              </w:rPr>
              <w:t>Interested Parties; Public Comment</w:t>
            </w:r>
          </w:p>
        </w:tc>
        <w:tc>
          <w:tcPr>
            <w:tcW w:w="11292" w:type="dxa"/>
            <w:gridSpan w:val="2"/>
          </w:tcPr>
          <w:p w:rsidR="00D814BE" w:rsidRDefault="006F4DA3" w:rsidP="00793EE5">
            <w:pPr>
              <w:pStyle w:val="ListParagraph"/>
              <w:numPr>
                <w:ilvl w:val="0"/>
                <w:numId w:val="37"/>
              </w:numPr>
              <w:ind w:left="702"/>
              <w:jc w:val="left"/>
              <w:rPr>
                <w:rFonts w:cstheme="minorHAnsi"/>
              </w:rPr>
            </w:pPr>
            <w:r>
              <w:rPr>
                <w:rFonts w:cstheme="minorHAnsi"/>
              </w:rPr>
              <w:t xml:space="preserve">Richard Chaucer addressed the issues of the </w:t>
            </w:r>
            <w:r w:rsidR="00793EE5">
              <w:rPr>
                <w:rFonts w:cstheme="minorHAnsi"/>
              </w:rPr>
              <w:t>patient discrimination concerns related to patients with DSM/</w:t>
            </w:r>
            <w:r>
              <w:rPr>
                <w:rFonts w:cstheme="minorHAnsi"/>
              </w:rPr>
              <w:t xml:space="preserve">Axis </w:t>
            </w:r>
            <w:r w:rsidR="00793EE5">
              <w:rPr>
                <w:rFonts w:cstheme="minorHAnsi"/>
              </w:rPr>
              <w:t xml:space="preserve">diagnosis’s that are using for billing purposes.  Currently HIN does not integrate the codes used for </w:t>
            </w:r>
            <w:r>
              <w:rPr>
                <w:rFonts w:cstheme="minorHAnsi"/>
              </w:rPr>
              <w:t>billing information in the HIE</w:t>
            </w:r>
            <w:r w:rsidR="00793EE5">
              <w:rPr>
                <w:rFonts w:cstheme="minorHAnsi"/>
              </w:rPr>
              <w:t xml:space="preserve"> “Clinical Portal” but we do present an ongoing “active problem list” of patient diagnosis</w:t>
            </w:r>
            <w:r>
              <w:rPr>
                <w:rFonts w:cstheme="minorHAnsi"/>
              </w:rPr>
              <w:t xml:space="preserve">. </w:t>
            </w:r>
            <w:r w:rsidR="00793EE5">
              <w:rPr>
                <w:rFonts w:cstheme="minorHAnsi"/>
              </w:rPr>
              <w:t>We recognize that discrimination is a real challenge for those patients that may be diagnosed with particular mental health diagnosis</w:t>
            </w:r>
            <w:r w:rsidR="00E25B17">
              <w:rPr>
                <w:rFonts w:cstheme="minorHAnsi"/>
              </w:rPr>
              <w:t xml:space="preserve"> codes</w:t>
            </w:r>
            <w:r w:rsidR="00793EE5">
              <w:rPr>
                <w:rFonts w:cstheme="minorHAnsi"/>
              </w:rPr>
              <w:t xml:space="preserve">. </w:t>
            </w:r>
          </w:p>
        </w:tc>
      </w:tr>
    </w:tbl>
    <w:p w:rsidR="00C043AA" w:rsidRDefault="00C043AA" w:rsidP="00433EB8">
      <w:pPr>
        <w:ind w:left="-900"/>
        <w:jc w:val="left"/>
        <w:rPr>
          <w:rFonts w:ascii="Arial" w:hAnsi="Arial" w:cs="Arial"/>
          <w:b/>
          <w:sz w:val="24"/>
          <w:szCs w:val="24"/>
          <w:lang w:val="en-AU"/>
        </w:rPr>
      </w:pPr>
    </w:p>
    <w:p w:rsidR="008A07E3" w:rsidRPr="004D53AB" w:rsidRDefault="008A07E3" w:rsidP="00433EB8">
      <w:pPr>
        <w:ind w:left="-900"/>
        <w:jc w:val="left"/>
        <w:rPr>
          <w:rFonts w:ascii="Arial" w:hAnsi="Arial" w:cs="Arial"/>
          <w:sz w:val="24"/>
          <w:szCs w:val="24"/>
          <w:lang w:val="en-AU"/>
        </w:rPr>
      </w:pPr>
      <w:r>
        <w:rPr>
          <w:rFonts w:ascii="Arial" w:hAnsi="Arial" w:cs="Arial"/>
          <w:b/>
          <w:sz w:val="24"/>
          <w:szCs w:val="24"/>
          <w:lang w:val="en-AU"/>
        </w:rPr>
        <w:t>New</w:t>
      </w:r>
      <w:r w:rsidRPr="004D53AB">
        <w:rPr>
          <w:rFonts w:ascii="Arial" w:hAnsi="Arial" w:cs="Arial"/>
          <w:b/>
          <w:sz w:val="24"/>
          <w:szCs w:val="24"/>
          <w:lang w:val="en-AU"/>
        </w:rPr>
        <w:t xml:space="preserve"> Actions</w:t>
      </w:r>
    </w:p>
    <w:tbl>
      <w:tblPr>
        <w:tblW w:w="14198" w:type="dxa"/>
        <w:tblInd w:w="-7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860"/>
        <w:gridCol w:w="9238"/>
        <w:gridCol w:w="1322"/>
        <w:gridCol w:w="1080"/>
        <w:gridCol w:w="698"/>
      </w:tblGrid>
      <w:tr w:rsidR="008A07E3" w:rsidRPr="008A07E3" w:rsidTr="00F958B7">
        <w:trPr>
          <w:cantSplit/>
          <w:trHeight w:val="547"/>
        </w:trPr>
        <w:tc>
          <w:tcPr>
            <w:tcW w:w="1860"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F93103" w:rsidP="00F93103">
            <w:pPr>
              <w:jc w:val="left"/>
              <w:rPr>
                <w:rFonts w:cstheme="minorHAnsi"/>
                <w:b/>
                <w:color w:val="FFFFFF" w:themeColor="background1"/>
              </w:rPr>
            </w:pPr>
            <w:r>
              <w:rPr>
                <w:rFonts w:cstheme="minorHAnsi"/>
                <w:b/>
                <w:color w:val="FFFFFF" w:themeColor="background1"/>
              </w:rPr>
              <w:t>Agenda Item</w:t>
            </w:r>
          </w:p>
        </w:tc>
        <w:tc>
          <w:tcPr>
            <w:tcW w:w="9238"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8A07E3" w:rsidP="0022432C">
            <w:pPr>
              <w:jc w:val="left"/>
              <w:rPr>
                <w:rFonts w:cstheme="minorHAnsi"/>
                <w:b/>
                <w:color w:val="FFFFFF" w:themeColor="background1"/>
              </w:rPr>
            </w:pPr>
            <w:r w:rsidRPr="008A07E3">
              <w:rPr>
                <w:rFonts w:cstheme="minorHAnsi"/>
                <w:b/>
                <w:color w:val="FFFFFF" w:themeColor="background1"/>
              </w:rPr>
              <w:t>Action Items</w:t>
            </w:r>
          </w:p>
        </w:tc>
        <w:tc>
          <w:tcPr>
            <w:tcW w:w="1322"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8A07E3" w:rsidP="0022432C">
            <w:pPr>
              <w:jc w:val="left"/>
              <w:rPr>
                <w:rFonts w:cstheme="minorHAnsi"/>
                <w:b/>
                <w:color w:val="FFFFFF" w:themeColor="background1"/>
              </w:rPr>
            </w:pPr>
            <w:r w:rsidRPr="008A07E3">
              <w:rPr>
                <w:rFonts w:cstheme="minorHAnsi"/>
                <w:b/>
                <w:color w:val="FFFFFF" w:themeColor="background1"/>
              </w:rPr>
              <w:t>Status</w:t>
            </w:r>
          </w:p>
        </w:tc>
        <w:tc>
          <w:tcPr>
            <w:tcW w:w="1080"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8A07E3" w:rsidP="0022432C">
            <w:pPr>
              <w:jc w:val="left"/>
              <w:rPr>
                <w:rFonts w:cstheme="minorHAnsi"/>
                <w:b/>
                <w:color w:val="FFFFFF" w:themeColor="background1"/>
              </w:rPr>
            </w:pPr>
            <w:r w:rsidRPr="008A07E3">
              <w:rPr>
                <w:rFonts w:cstheme="minorHAnsi"/>
                <w:b/>
                <w:color w:val="FFFFFF" w:themeColor="background1"/>
              </w:rPr>
              <w:t>Who</w:t>
            </w:r>
          </w:p>
        </w:tc>
        <w:tc>
          <w:tcPr>
            <w:tcW w:w="698"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8A07E3" w:rsidP="0022432C">
            <w:pPr>
              <w:jc w:val="left"/>
              <w:rPr>
                <w:rFonts w:cstheme="minorHAnsi"/>
                <w:b/>
                <w:color w:val="FFFFFF" w:themeColor="background1"/>
              </w:rPr>
            </w:pPr>
            <w:r w:rsidRPr="008A07E3">
              <w:rPr>
                <w:rFonts w:cstheme="minorHAnsi"/>
                <w:b/>
                <w:color w:val="FFFFFF" w:themeColor="background1"/>
              </w:rPr>
              <w:t>Due By</w:t>
            </w:r>
          </w:p>
        </w:tc>
      </w:tr>
      <w:tr w:rsidR="008A07E3" w:rsidRPr="004D53AB" w:rsidTr="00F958B7">
        <w:trPr>
          <w:cantSplit/>
          <w:trHeight w:val="266"/>
        </w:trPr>
        <w:tc>
          <w:tcPr>
            <w:tcW w:w="1860" w:type="dxa"/>
            <w:tcBorders>
              <w:top w:val="single" w:sz="4" w:space="0" w:color="C0C0C0"/>
              <w:left w:val="single" w:sz="4" w:space="0" w:color="C0C0C0"/>
              <w:bottom w:val="single" w:sz="4" w:space="0" w:color="C0C0C0"/>
              <w:right w:val="single" w:sz="4" w:space="0" w:color="C0C0C0"/>
            </w:tcBorders>
            <w:vAlign w:val="center"/>
          </w:tcPr>
          <w:p w:rsidR="00214A97" w:rsidRPr="006554C1" w:rsidRDefault="006F4DA3" w:rsidP="0022432C">
            <w:pPr>
              <w:jc w:val="left"/>
              <w:rPr>
                <w:rFonts w:cs="Arial"/>
                <w:b/>
                <w:lang w:val="en-AU"/>
              </w:rPr>
            </w:pPr>
            <w:r>
              <w:rPr>
                <w:rFonts w:cs="Arial"/>
                <w:b/>
                <w:lang w:val="en-AU"/>
              </w:rPr>
              <w:t>March Meeting Minutes</w:t>
            </w:r>
          </w:p>
        </w:tc>
        <w:tc>
          <w:tcPr>
            <w:tcW w:w="9238" w:type="dxa"/>
            <w:tcBorders>
              <w:top w:val="single" w:sz="4" w:space="0" w:color="C0C0C0"/>
              <w:left w:val="single" w:sz="4" w:space="0" w:color="C0C0C0"/>
              <w:bottom w:val="single" w:sz="4" w:space="0" w:color="C0C0C0"/>
              <w:right w:val="single" w:sz="4" w:space="0" w:color="C0C0C0"/>
            </w:tcBorders>
          </w:tcPr>
          <w:p w:rsidR="008A07E3" w:rsidRPr="006554C1" w:rsidRDefault="006F4DA3" w:rsidP="0022432C">
            <w:pPr>
              <w:jc w:val="left"/>
              <w:rPr>
                <w:rFonts w:cs="Arial"/>
                <w:lang w:val="en-AU"/>
              </w:rPr>
            </w:pPr>
            <w:r>
              <w:rPr>
                <w:rFonts w:cs="Arial"/>
                <w:lang w:val="en-AU"/>
              </w:rPr>
              <w:t>Katie will update the March Minutes with the comment about the risk mitigation plan</w:t>
            </w:r>
          </w:p>
        </w:tc>
        <w:tc>
          <w:tcPr>
            <w:tcW w:w="1322" w:type="dxa"/>
            <w:tcBorders>
              <w:top w:val="single" w:sz="4" w:space="0" w:color="C0C0C0"/>
              <w:left w:val="single" w:sz="4" w:space="0" w:color="C0C0C0"/>
              <w:bottom w:val="single" w:sz="4" w:space="0" w:color="C0C0C0"/>
              <w:right w:val="single" w:sz="4" w:space="0" w:color="C0C0C0"/>
            </w:tcBorders>
          </w:tcPr>
          <w:p w:rsidR="008A07E3" w:rsidRPr="006554C1" w:rsidRDefault="008A07E3" w:rsidP="0022432C">
            <w:pPr>
              <w:jc w:val="left"/>
              <w:rPr>
                <w:rFonts w:cs="Arial"/>
                <w:lang w:val="en-AU"/>
              </w:rPr>
            </w:pPr>
          </w:p>
        </w:tc>
        <w:tc>
          <w:tcPr>
            <w:tcW w:w="1080" w:type="dxa"/>
            <w:tcBorders>
              <w:top w:val="single" w:sz="4" w:space="0" w:color="C0C0C0"/>
              <w:left w:val="single" w:sz="4" w:space="0" w:color="C0C0C0"/>
              <w:bottom w:val="single" w:sz="4" w:space="0" w:color="C0C0C0"/>
              <w:right w:val="single" w:sz="4" w:space="0" w:color="C0C0C0"/>
            </w:tcBorders>
          </w:tcPr>
          <w:p w:rsidR="008A07E3" w:rsidRPr="006554C1" w:rsidRDefault="006F4DA3" w:rsidP="0022432C">
            <w:pPr>
              <w:jc w:val="left"/>
              <w:rPr>
                <w:rFonts w:cs="Arial"/>
                <w:lang w:val="en-AU"/>
              </w:rPr>
            </w:pPr>
            <w:r>
              <w:rPr>
                <w:rFonts w:cs="Arial"/>
                <w:lang w:val="en-AU"/>
              </w:rPr>
              <w:t>Katie</w:t>
            </w:r>
          </w:p>
        </w:tc>
        <w:tc>
          <w:tcPr>
            <w:tcW w:w="698" w:type="dxa"/>
            <w:tcBorders>
              <w:top w:val="single" w:sz="4" w:space="0" w:color="C0C0C0"/>
              <w:left w:val="single" w:sz="4" w:space="0" w:color="C0C0C0"/>
              <w:bottom w:val="single" w:sz="4" w:space="0" w:color="C0C0C0"/>
              <w:right w:val="single" w:sz="4" w:space="0" w:color="C0C0C0"/>
            </w:tcBorders>
          </w:tcPr>
          <w:p w:rsidR="00F958B7" w:rsidRPr="006554C1" w:rsidRDefault="006F4DA3" w:rsidP="0022432C">
            <w:pPr>
              <w:jc w:val="left"/>
              <w:rPr>
                <w:rFonts w:cs="Arial"/>
                <w:sz w:val="24"/>
                <w:szCs w:val="24"/>
                <w:lang w:val="en-AU"/>
              </w:rPr>
            </w:pPr>
            <w:r>
              <w:rPr>
                <w:rFonts w:cs="Arial"/>
                <w:sz w:val="24"/>
                <w:szCs w:val="24"/>
                <w:lang w:val="en-AU"/>
              </w:rPr>
              <w:t>4/18</w:t>
            </w:r>
          </w:p>
        </w:tc>
      </w:tr>
      <w:tr w:rsidR="008A07E3" w:rsidRPr="004D53AB" w:rsidTr="00F958B7">
        <w:trPr>
          <w:cantSplit/>
          <w:trHeight w:val="266"/>
        </w:trPr>
        <w:tc>
          <w:tcPr>
            <w:tcW w:w="1860" w:type="dxa"/>
            <w:tcBorders>
              <w:top w:val="single" w:sz="4" w:space="0" w:color="C0C0C0"/>
              <w:left w:val="single" w:sz="4" w:space="0" w:color="C0C0C0"/>
              <w:bottom w:val="single" w:sz="4" w:space="0" w:color="C0C0C0"/>
              <w:right w:val="single" w:sz="4" w:space="0" w:color="C0C0C0"/>
            </w:tcBorders>
            <w:vAlign w:val="center"/>
          </w:tcPr>
          <w:p w:rsidR="008A07E3" w:rsidRPr="006554C1" w:rsidRDefault="008A07E3" w:rsidP="0022432C">
            <w:pPr>
              <w:jc w:val="left"/>
              <w:rPr>
                <w:rFonts w:cs="Arial"/>
                <w:sz w:val="24"/>
                <w:szCs w:val="24"/>
                <w:lang w:val="en-AU"/>
              </w:rPr>
            </w:pPr>
          </w:p>
        </w:tc>
        <w:tc>
          <w:tcPr>
            <w:tcW w:w="9238" w:type="dxa"/>
            <w:tcBorders>
              <w:top w:val="single" w:sz="4" w:space="0" w:color="C0C0C0"/>
              <w:left w:val="single" w:sz="4" w:space="0" w:color="C0C0C0"/>
              <w:bottom w:val="single" w:sz="4" w:space="0" w:color="C0C0C0"/>
              <w:right w:val="single" w:sz="4" w:space="0" w:color="C0C0C0"/>
            </w:tcBorders>
          </w:tcPr>
          <w:p w:rsidR="008A07E3" w:rsidRPr="006554C1" w:rsidRDefault="008A07E3" w:rsidP="00F93103">
            <w:pPr>
              <w:jc w:val="left"/>
              <w:rPr>
                <w:rFonts w:cs="Arial"/>
                <w:sz w:val="24"/>
                <w:szCs w:val="24"/>
                <w:lang w:val="en-AU"/>
              </w:rPr>
            </w:pPr>
          </w:p>
        </w:tc>
        <w:tc>
          <w:tcPr>
            <w:tcW w:w="1322" w:type="dxa"/>
            <w:tcBorders>
              <w:top w:val="single" w:sz="4" w:space="0" w:color="C0C0C0"/>
              <w:left w:val="single" w:sz="4" w:space="0" w:color="C0C0C0"/>
              <w:bottom w:val="single" w:sz="4" w:space="0" w:color="C0C0C0"/>
              <w:right w:val="single" w:sz="4" w:space="0" w:color="C0C0C0"/>
            </w:tcBorders>
          </w:tcPr>
          <w:p w:rsidR="008A07E3" w:rsidRPr="006554C1" w:rsidRDefault="008A07E3" w:rsidP="0022432C">
            <w:pPr>
              <w:jc w:val="left"/>
              <w:rPr>
                <w:rFonts w:cs="Arial"/>
                <w:sz w:val="24"/>
                <w:szCs w:val="24"/>
                <w:lang w:val="en-AU"/>
              </w:rPr>
            </w:pPr>
          </w:p>
        </w:tc>
        <w:tc>
          <w:tcPr>
            <w:tcW w:w="1080" w:type="dxa"/>
            <w:tcBorders>
              <w:top w:val="single" w:sz="4" w:space="0" w:color="C0C0C0"/>
              <w:left w:val="single" w:sz="4" w:space="0" w:color="C0C0C0"/>
              <w:bottom w:val="single" w:sz="4" w:space="0" w:color="C0C0C0"/>
              <w:right w:val="single" w:sz="4" w:space="0" w:color="C0C0C0"/>
            </w:tcBorders>
          </w:tcPr>
          <w:p w:rsidR="00F958B7" w:rsidRPr="006554C1" w:rsidRDefault="00F958B7" w:rsidP="0022432C">
            <w:pPr>
              <w:jc w:val="left"/>
              <w:rPr>
                <w:rFonts w:cs="Arial"/>
                <w:sz w:val="24"/>
                <w:szCs w:val="24"/>
                <w:lang w:val="en-AU"/>
              </w:rPr>
            </w:pPr>
          </w:p>
        </w:tc>
        <w:tc>
          <w:tcPr>
            <w:tcW w:w="698" w:type="dxa"/>
            <w:tcBorders>
              <w:top w:val="single" w:sz="4" w:space="0" w:color="C0C0C0"/>
              <w:left w:val="single" w:sz="4" w:space="0" w:color="C0C0C0"/>
              <w:bottom w:val="single" w:sz="4" w:space="0" w:color="C0C0C0"/>
              <w:right w:val="single" w:sz="4" w:space="0" w:color="C0C0C0"/>
            </w:tcBorders>
          </w:tcPr>
          <w:p w:rsidR="008A07E3" w:rsidRPr="006554C1" w:rsidRDefault="008A07E3" w:rsidP="0022432C">
            <w:pPr>
              <w:jc w:val="left"/>
              <w:rPr>
                <w:rFonts w:cs="Arial"/>
                <w:sz w:val="24"/>
                <w:szCs w:val="24"/>
                <w:lang w:val="en-AU"/>
              </w:rPr>
            </w:pPr>
          </w:p>
        </w:tc>
      </w:tr>
    </w:tbl>
    <w:p w:rsidR="008A07E3" w:rsidRPr="00F470EF" w:rsidRDefault="008A07E3" w:rsidP="00433EB8">
      <w:pPr>
        <w:jc w:val="left"/>
        <w:rPr>
          <w:rFonts w:ascii="Arial" w:hAnsi="Arial" w:cs="Arial"/>
          <w:sz w:val="24"/>
          <w:szCs w:val="24"/>
        </w:rPr>
      </w:pPr>
    </w:p>
    <w:sectPr w:rsidR="008A07E3"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89" w:rsidRDefault="00216489" w:rsidP="005261E9">
      <w:r>
        <w:separator/>
      </w:r>
    </w:p>
  </w:endnote>
  <w:endnote w:type="continuationSeparator" w:id="0">
    <w:p w:rsidR="00216489" w:rsidRDefault="00216489"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AE4AB5">
      <w:rPr>
        <w:noProof/>
        <w:color w:val="808080" w:themeColor="background1" w:themeShade="80"/>
        <w:sz w:val="20"/>
        <w:szCs w:val="20"/>
      </w:rPr>
      <w:t>2</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AE4AB5">
      <w:rPr>
        <w:noProof/>
        <w:color w:val="808080" w:themeColor="background1" w:themeShade="80"/>
        <w:sz w:val="20"/>
        <w:szCs w:val="20"/>
      </w:rPr>
      <w:t>3</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89" w:rsidRDefault="00216489" w:rsidP="005261E9">
      <w:r>
        <w:separator/>
      </w:r>
    </w:p>
  </w:footnote>
  <w:footnote w:type="continuationSeparator" w:id="0">
    <w:p w:rsidR="00216489" w:rsidRDefault="00216489"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970350"/>
      <w:docPartObj>
        <w:docPartGallery w:val="Watermarks"/>
        <w:docPartUnique/>
      </w:docPartObj>
    </w:sdtPr>
    <w:sdtEndPr/>
    <w:sdtContent>
      <w:p w:rsidR="00772268" w:rsidRDefault="0021648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13659"/>
    <w:multiLevelType w:val="hybridMultilevel"/>
    <w:tmpl w:val="5DDC3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B118E9"/>
    <w:multiLevelType w:val="hybridMultilevel"/>
    <w:tmpl w:val="12DCC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4A77AE"/>
    <w:multiLevelType w:val="hybridMultilevel"/>
    <w:tmpl w:val="5BCA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44DCF"/>
    <w:multiLevelType w:val="hybridMultilevel"/>
    <w:tmpl w:val="AA9A6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1A740D"/>
    <w:multiLevelType w:val="hybridMultilevel"/>
    <w:tmpl w:val="B5F0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8400F6"/>
    <w:multiLevelType w:val="hybridMultilevel"/>
    <w:tmpl w:val="2E0626D8"/>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2">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522C1D"/>
    <w:multiLevelType w:val="hybridMultilevel"/>
    <w:tmpl w:val="32D44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A61598"/>
    <w:multiLevelType w:val="hybridMultilevel"/>
    <w:tmpl w:val="59AA5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F5156C"/>
    <w:multiLevelType w:val="hybridMultilevel"/>
    <w:tmpl w:val="1CAE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A7C6CE8"/>
    <w:multiLevelType w:val="hybridMultilevel"/>
    <w:tmpl w:val="0EC64722"/>
    <w:lvl w:ilvl="0" w:tplc="63648F04">
      <w:numFmt w:val="bullet"/>
      <w:lvlText w:val="-"/>
      <w:lvlJc w:val="left"/>
      <w:pPr>
        <w:ind w:left="720" w:hanging="360"/>
      </w:pPr>
      <w:rPr>
        <w:rFonts w:ascii="Calibri" w:eastAsia="Times New Roman" w:hAnsi="Calibri" w:cstheme="minorHAns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0525A"/>
    <w:multiLevelType w:val="hybridMultilevel"/>
    <w:tmpl w:val="F5962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EEC1A17"/>
    <w:multiLevelType w:val="hybridMultilevel"/>
    <w:tmpl w:val="EA2A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617E28"/>
    <w:multiLevelType w:val="hybridMultilevel"/>
    <w:tmpl w:val="4B66FFF4"/>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4">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D50AB6"/>
    <w:multiLevelType w:val="hybridMultilevel"/>
    <w:tmpl w:val="18364584"/>
    <w:lvl w:ilvl="0" w:tplc="04090001">
      <w:start w:val="1"/>
      <w:numFmt w:val="bullet"/>
      <w:lvlText w:val=""/>
      <w:lvlJc w:val="left"/>
      <w:pPr>
        <w:ind w:left="1422"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6">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0"/>
  </w:num>
  <w:num w:numId="4">
    <w:abstractNumId w:val="11"/>
  </w:num>
  <w:num w:numId="5">
    <w:abstractNumId w:val="13"/>
  </w:num>
  <w:num w:numId="6">
    <w:abstractNumId w:val="29"/>
  </w:num>
  <w:num w:numId="7">
    <w:abstractNumId w:val="16"/>
  </w:num>
  <w:num w:numId="8">
    <w:abstractNumId w:val="23"/>
  </w:num>
  <w:num w:numId="9">
    <w:abstractNumId w:val="5"/>
  </w:num>
  <w:num w:numId="10">
    <w:abstractNumId w:val="30"/>
  </w:num>
  <w:num w:numId="11">
    <w:abstractNumId w:val="19"/>
  </w:num>
  <w:num w:numId="12">
    <w:abstractNumId w:val="10"/>
  </w:num>
  <w:num w:numId="13">
    <w:abstractNumId w:val="36"/>
  </w:num>
  <w:num w:numId="14">
    <w:abstractNumId w:val="2"/>
  </w:num>
  <w:num w:numId="15">
    <w:abstractNumId w:val="34"/>
  </w:num>
  <w:num w:numId="16">
    <w:abstractNumId w:val="7"/>
  </w:num>
  <w:num w:numId="17">
    <w:abstractNumId w:val="22"/>
  </w:num>
  <w:num w:numId="18">
    <w:abstractNumId w:val="17"/>
  </w:num>
  <w:num w:numId="19">
    <w:abstractNumId w:val="27"/>
  </w:num>
  <w:num w:numId="20">
    <w:abstractNumId w:val="8"/>
  </w:num>
  <w:num w:numId="21">
    <w:abstractNumId w:val="37"/>
  </w:num>
  <w:num w:numId="22">
    <w:abstractNumId w:val="9"/>
  </w:num>
  <w:num w:numId="23">
    <w:abstractNumId w:val="20"/>
  </w:num>
  <w:num w:numId="24">
    <w:abstractNumId w:val="6"/>
  </w:num>
  <w:num w:numId="25">
    <w:abstractNumId w:val="26"/>
  </w:num>
  <w:num w:numId="26">
    <w:abstractNumId w:val="25"/>
  </w:num>
  <w:num w:numId="27">
    <w:abstractNumId w:val="32"/>
  </w:num>
  <w:num w:numId="28">
    <w:abstractNumId w:val="14"/>
  </w:num>
  <w:num w:numId="29">
    <w:abstractNumId w:val="31"/>
  </w:num>
  <w:num w:numId="30">
    <w:abstractNumId w:val="18"/>
  </w:num>
  <w:num w:numId="31">
    <w:abstractNumId w:val="15"/>
  </w:num>
  <w:num w:numId="32">
    <w:abstractNumId w:val="33"/>
  </w:num>
  <w:num w:numId="33">
    <w:abstractNumId w:val="1"/>
  </w:num>
  <w:num w:numId="34">
    <w:abstractNumId w:val="21"/>
  </w:num>
  <w:num w:numId="35">
    <w:abstractNumId w:val="3"/>
  </w:num>
  <w:num w:numId="36">
    <w:abstractNumId w:val="35"/>
  </w:num>
  <w:num w:numId="37">
    <w:abstractNumId w:val="2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0706D"/>
    <w:rsid w:val="00013ED5"/>
    <w:rsid w:val="00015141"/>
    <w:rsid w:val="00024B4E"/>
    <w:rsid w:val="00030B11"/>
    <w:rsid w:val="00031E57"/>
    <w:rsid w:val="00033318"/>
    <w:rsid w:val="00043725"/>
    <w:rsid w:val="000557DD"/>
    <w:rsid w:val="0006146F"/>
    <w:rsid w:val="00067324"/>
    <w:rsid w:val="00071F78"/>
    <w:rsid w:val="000729CB"/>
    <w:rsid w:val="00073E14"/>
    <w:rsid w:val="00081AD2"/>
    <w:rsid w:val="00086535"/>
    <w:rsid w:val="00090444"/>
    <w:rsid w:val="00093C04"/>
    <w:rsid w:val="000A3105"/>
    <w:rsid w:val="000A664A"/>
    <w:rsid w:val="000B0295"/>
    <w:rsid w:val="000B3D00"/>
    <w:rsid w:val="000B3F54"/>
    <w:rsid w:val="000B45F8"/>
    <w:rsid w:val="000D2224"/>
    <w:rsid w:val="000E575F"/>
    <w:rsid w:val="000E5AAE"/>
    <w:rsid w:val="000E5CCF"/>
    <w:rsid w:val="000F7F57"/>
    <w:rsid w:val="001054A5"/>
    <w:rsid w:val="0011168C"/>
    <w:rsid w:val="00117EF9"/>
    <w:rsid w:val="00123CC3"/>
    <w:rsid w:val="00127E97"/>
    <w:rsid w:val="00135D4B"/>
    <w:rsid w:val="00135F5E"/>
    <w:rsid w:val="001369B2"/>
    <w:rsid w:val="0014045E"/>
    <w:rsid w:val="001450BB"/>
    <w:rsid w:val="00146FBA"/>
    <w:rsid w:val="001525A3"/>
    <w:rsid w:val="00161C2B"/>
    <w:rsid w:val="00164916"/>
    <w:rsid w:val="0017754F"/>
    <w:rsid w:val="001828B7"/>
    <w:rsid w:val="00197E06"/>
    <w:rsid w:val="001A7200"/>
    <w:rsid w:val="001A7E5D"/>
    <w:rsid w:val="001B17DC"/>
    <w:rsid w:val="001B5487"/>
    <w:rsid w:val="001C2239"/>
    <w:rsid w:val="001D6946"/>
    <w:rsid w:val="001F6FB4"/>
    <w:rsid w:val="00207B55"/>
    <w:rsid w:val="00214A97"/>
    <w:rsid w:val="00216489"/>
    <w:rsid w:val="00217E69"/>
    <w:rsid w:val="002243F2"/>
    <w:rsid w:val="0022745E"/>
    <w:rsid w:val="00235B69"/>
    <w:rsid w:val="00237CB3"/>
    <w:rsid w:val="0024309F"/>
    <w:rsid w:val="0024604C"/>
    <w:rsid w:val="00250CCD"/>
    <w:rsid w:val="00251854"/>
    <w:rsid w:val="00257AF3"/>
    <w:rsid w:val="00262985"/>
    <w:rsid w:val="00273B77"/>
    <w:rsid w:val="002748B1"/>
    <w:rsid w:val="00282531"/>
    <w:rsid w:val="00282E0A"/>
    <w:rsid w:val="00283021"/>
    <w:rsid w:val="00286629"/>
    <w:rsid w:val="002924EB"/>
    <w:rsid w:val="002B5D69"/>
    <w:rsid w:val="002B6325"/>
    <w:rsid w:val="002B70BD"/>
    <w:rsid w:val="002C2DD3"/>
    <w:rsid w:val="002C2FBA"/>
    <w:rsid w:val="002C7742"/>
    <w:rsid w:val="002D0658"/>
    <w:rsid w:val="002D5DEA"/>
    <w:rsid w:val="002D64D8"/>
    <w:rsid w:val="002D664C"/>
    <w:rsid w:val="002E4357"/>
    <w:rsid w:val="002E45B1"/>
    <w:rsid w:val="002F4AEB"/>
    <w:rsid w:val="00302696"/>
    <w:rsid w:val="003128FE"/>
    <w:rsid w:val="00324CF3"/>
    <w:rsid w:val="0032502E"/>
    <w:rsid w:val="0033176A"/>
    <w:rsid w:val="0033286A"/>
    <w:rsid w:val="0035442F"/>
    <w:rsid w:val="00357C99"/>
    <w:rsid w:val="00362684"/>
    <w:rsid w:val="0036506D"/>
    <w:rsid w:val="00373026"/>
    <w:rsid w:val="00373A02"/>
    <w:rsid w:val="00377C6E"/>
    <w:rsid w:val="0038690C"/>
    <w:rsid w:val="003A00EF"/>
    <w:rsid w:val="003B3A33"/>
    <w:rsid w:val="003C1F65"/>
    <w:rsid w:val="003C3747"/>
    <w:rsid w:val="003D6F76"/>
    <w:rsid w:val="003E0D8E"/>
    <w:rsid w:val="003E2AC7"/>
    <w:rsid w:val="003E6849"/>
    <w:rsid w:val="003F0DC9"/>
    <w:rsid w:val="00405196"/>
    <w:rsid w:val="00420ED3"/>
    <w:rsid w:val="004279FF"/>
    <w:rsid w:val="00433EB8"/>
    <w:rsid w:val="0043502A"/>
    <w:rsid w:val="0044521E"/>
    <w:rsid w:val="004452D1"/>
    <w:rsid w:val="00453209"/>
    <w:rsid w:val="00456CF4"/>
    <w:rsid w:val="0046623E"/>
    <w:rsid w:val="00475CE3"/>
    <w:rsid w:val="004776A0"/>
    <w:rsid w:val="00485155"/>
    <w:rsid w:val="00496871"/>
    <w:rsid w:val="004A19EA"/>
    <w:rsid w:val="004A6BC9"/>
    <w:rsid w:val="004C7326"/>
    <w:rsid w:val="004D0A28"/>
    <w:rsid w:val="004D53AB"/>
    <w:rsid w:val="004E150F"/>
    <w:rsid w:val="004E593A"/>
    <w:rsid w:val="004F0AC7"/>
    <w:rsid w:val="004F4DE4"/>
    <w:rsid w:val="004F505A"/>
    <w:rsid w:val="005103D7"/>
    <w:rsid w:val="00512BE1"/>
    <w:rsid w:val="005171A9"/>
    <w:rsid w:val="0052440D"/>
    <w:rsid w:val="005261E9"/>
    <w:rsid w:val="0052760A"/>
    <w:rsid w:val="00532B24"/>
    <w:rsid w:val="005419CE"/>
    <w:rsid w:val="00541C44"/>
    <w:rsid w:val="00546E39"/>
    <w:rsid w:val="005533A8"/>
    <w:rsid w:val="005568EC"/>
    <w:rsid w:val="00564B5C"/>
    <w:rsid w:val="00566A38"/>
    <w:rsid w:val="0057068A"/>
    <w:rsid w:val="00572012"/>
    <w:rsid w:val="00574A36"/>
    <w:rsid w:val="005764ED"/>
    <w:rsid w:val="00576891"/>
    <w:rsid w:val="005800E4"/>
    <w:rsid w:val="00591948"/>
    <w:rsid w:val="005930A0"/>
    <w:rsid w:val="005972F3"/>
    <w:rsid w:val="005A20A4"/>
    <w:rsid w:val="005A4406"/>
    <w:rsid w:val="005A59E4"/>
    <w:rsid w:val="005B1AD7"/>
    <w:rsid w:val="005C03E8"/>
    <w:rsid w:val="005C2BA9"/>
    <w:rsid w:val="005C32A2"/>
    <w:rsid w:val="005C6CC2"/>
    <w:rsid w:val="005C6D82"/>
    <w:rsid w:val="005E1A10"/>
    <w:rsid w:val="005F379B"/>
    <w:rsid w:val="005F3ED1"/>
    <w:rsid w:val="005F5668"/>
    <w:rsid w:val="005F674F"/>
    <w:rsid w:val="00600A39"/>
    <w:rsid w:val="00604980"/>
    <w:rsid w:val="00605991"/>
    <w:rsid w:val="00605B60"/>
    <w:rsid w:val="00616E1E"/>
    <w:rsid w:val="0063630E"/>
    <w:rsid w:val="00636637"/>
    <w:rsid w:val="006379DA"/>
    <w:rsid w:val="006444D7"/>
    <w:rsid w:val="006554C1"/>
    <w:rsid w:val="00663908"/>
    <w:rsid w:val="00667AC1"/>
    <w:rsid w:val="00671C49"/>
    <w:rsid w:val="006813C4"/>
    <w:rsid w:val="00683928"/>
    <w:rsid w:val="006855F8"/>
    <w:rsid w:val="0069587D"/>
    <w:rsid w:val="006A0A6B"/>
    <w:rsid w:val="006A16B8"/>
    <w:rsid w:val="006A1F1F"/>
    <w:rsid w:val="006B3862"/>
    <w:rsid w:val="006C6BC9"/>
    <w:rsid w:val="006E689F"/>
    <w:rsid w:val="006F15FF"/>
    <w:rsid w:val="006F3934"/>
    <w:rsid w:val="006F4DA3"/>
    <w:rsid w:val="0070192A"/>
    <w:rsid w:val="00705406"/>
    <w:rsid w:val="00720750"/>
    <w:rsid w:val="00722CA9"/>
    <w:rsid w:val="00724F63"/>
    <w:rsid w:val="00725F68"/>
    <w:rsid w:val="00731F5C"/>
    <w:rsid w:val="00735D33"/>
    <w:rsid w:val="00736B94"/>
    <w:rsid w:val="0073775A"/>
    <w:rsid w:val="007444EA"/>
    <w:rsid w:val="00765ACD"/>
    <w:rsid w:val="0077220B"/>
    <w:rsid w:val="00772268"/>
    <w:rsid w:val="0077766F"/>
    <w:rsid w:val="00781B68"/>
    <w:rsid w:val="00783336"/>
    <w:rsid w:val="007934FD"/>
    <w:rsid w:val="00793EE5"/>
    <w:rsid w:val="00796549"/>
    <w:rsid w:val="00796FBD"/>
    <w:rsid w:val="00797A73"/>
    <w:rsid w:val="007A6FF8"/>
    <w:rsid w:val="007B5B0F"/>
    <w:rsid w:val="007B64B4"/>
    <w:rsid w:val="007C629F"/>
    <w:rsid w:val="007C77E2"/>
    <w:rsid w:val="007D36C7"/>
    <w:rsid w:val="007E4388"/>
    <w:rsid w:val="007E4544"/>
    <w:rsid w:val="007F3117"/>
    <w:rsid w:val="008145DB"/>
    <w:rsid w:val="008218F2"/>
    <w:rsid w:val="0082724B"/>
    <w:rsid w:val="008357EC"/>
    <w:rsid w:val="00836C62"/>
    <w:rsid w:val="008434F9"/>
    <w:rsid w:val="008447C5"/>
    <w:rsid w:val="0085323D"/>
    <w:rsid w:val="008623EC"/>
    <w:rsid w:val="00891C68"/>
    <w:rsid w:val="008A07E3"/>
    <w:rsid w:val="008B0882"/>
    <w:rsid w:val="008B1CD7"/>
    <w:rsid w:val="008B4134"/>
    <w:rsid w:val="008D02DD"/>
    <w:rsid w:val="008D58F3"/>
    <w:rsid w:val="008E0FE6"/>
    <w:rsid w:val="008F6958"/>
    <w:rsid w:val="008F74F2"/>
    <w:rsid w:val="00926DAC"/>
    <w:rsid w:val="009322EB"/>
    <w:rsid w:val="00933930"/>
    <w:rsid w:val="009344D1"/>
    <w:rsid w:val="00942E2B"/>
    <w:rsid w:val="00944146"/>
    <w:rsid w:val="0094434A"/>
    <w:rsid w:val="009539B2"/>
    <w:rsid w:val="009730F0"/>
    <w:rsid w:val="00981AED"/>
    <w:rsid w:val="009821E5"/>
    <w:rsid w:val="00990D1F"/>
    <w:rsid w:val="009923E9"/>
    <w:rsid w:val="009955C5"/>
    <w:rsid w:val="009A1EF4"/>
    <w:rsid w:val="009A2822"/>
    <w:rsid w:val="009B3346"/>
    <w:rsid w:val="009D5BB6"/>
    <w:rsid w:val="009D7AA8"/>
    <w:rsid w:val="009E1125"/>
    <w:rsid w:val="009E32ED"/>
    <w:rsid w:val="009E78DC"/>
    <w:rsid w:val="009E7FF6"/>
    <w:rsid w:val="009F1D31"/>
    <w:rsid w:val="009F2BD1"/>
    <w:rsid w:val="00A15F9D"/>
    <w:rsid w:val="00A21258"/>
    <w:rsid w:val="00A3144A"/>
    <w:rsid w:val="00A335D5"/>
    <w:rsid w:val="00A37FAD"/>
    <w:rsid w:val="00A44F0C"/>
    <w:rsid w:val="00A4641F"/>
    <w:rsid w:val="00A6067C"/>
    <w:rsid w:val="00A6246E"/>
    <w:rsid w:val="00A67D08"/>
    <w:rsid w:val="00A70DBF"/>
    <w:rsid w:val="00A70F04"/>
    <w:rsid w:val="00A71DF1"/>
    <w:rsid w:val="00A72713"/>
    <w:rsid w:val="00A81534"/>
    <w:rsid w:val="00A86873"/>
    <w:rsid w:val="00A92CBB"/>
    <w:rsid w:val="00A9678A"/>
    <w:rsid w:val="00AA1F9E"/>
    <w:rsid w:val="00AA53E1"/>
    <w:rsid w:val="00AB03ED"/>
    <w:rsid w:val="00AB0B15"/>
    <w:rsid w:val="00AB7558"/>
    <w:rsid w:val="00AC0CE5"/>
    <w:rsid w:val="00AC2CB9"/>
    <w:rsid w:val="00AC7353"/>
    <w:rsid w:val="00AD7444"/>
    <w:rsid w:val="00AE05D2"/>
    <w:rsid w:val="00AE4AB5"/>
    <w:rsid w:val="00AE5F30"/>
    <w:rsid w:val="00AE74A7"/>
    <w:rsid w:val="00AF2735"/>
    <w:rsid w:val="00B00402"/>
    <w:rsid w:val="00B1500A"/>
    <w:rsid w:val="00B16193"/>
    <w:rsid w:val="00B2323B"/>
    <w:rsid w:val="00B27761"/>
    <w:rsid w:val="00B27EF0"/>
    <w:rsid w:val="00B37255"/>
    <w:rsid w:val="00B41960"/>
    <w:rsid w:val="00B4414E"/>
    <w:rsid w:val="00B50A92"/>
    <w:rsid w:val="00B55426"/>
    <w:rsid w:val="00B56216"/>
    <w:rsid w:val="00B57A9B"/>
    <w:rsid w:val="00B71FCD"/>
    <w:rsid w:val="00B75CC9"/>
    <w:rsid w:val="00B7641E"/>
    <w:rsid w:val="00B76C72"/>
    <w:rsid w:val="00B84CEB"/>
    <w:rsid w:val="00B91424"/>
    <w:rsid w:val="00B96AB9"/>
    <w:rsid w:val="00BA32D1"/>
    <w:rsid w:val="00BA716E"/>
    <w:rsid w:val="00BB4447"/>
    <w:rsid w:val="00BB54FD"/>
    <w:rsid w:val="00BC01BD"/>
    <w:rsid w:val="00BC2A14"/>
    <w:rsid w:val="00BC2BC9"/>
    <w:rsid w:val="00BC48FB"/>
    <w:rsid w:val="00BC4FA9"/>
    <w:rsid w:val="00BD278D"/>
    <w:rsid w:val="00BD4073"/>
    <w:rsid w:val="00BE022C"/>
    <w:rsid w:val="00BF164A"/>
    <w:rsid w:val="00BF1788"/>
    <w:rsid w:val="00BF5044"/>
    <w:rsid w:val="00C043AA"/>
    <w:rsid w:val="00C06730"/>
    <w:rsid w:val="00C328F9"/>
    <w:rsid w:val="00C414F7"/>
    <w:rsid w:val="00C416EB"/>
    <w:rsid w:val="00C43648"/>
    <w:rsid w:val="00C5154B"/>
    <w:rsid w:val="00C5420C"/>
    <w:rsid w:val="00C60698"/>
    <w:rsid w:val="00C60DD0"/>
    <w:rsid w:val="00C66B4E"/>
    <w:rsid w:val="00C67E53"/>
    <w:rsid w:val="00C72CB7"/>
    <w:rsid w:val="00C85238"/>
    <w:rsid w:val="00CA785A"/>
    <w:rsid w:val="00CB0FCC"/>
    <w:rsid w:val="00CB3767"/>
    <w:rsid w:val="00CC1F2A"/>
    <w:rsid w:val="00CC5004"/>
    <w:rsid w:val="00CD1E3B"/>
    <w:rsid w:val="00CD22D2"/>
    <w:rsid w:val="00CF6EF2"/>
    <w:rsid w:val="00D00D15"/>
    <w:rsid w:val="00D11570"/>
    <w:rsid w:val="00D16513"/>
    <w:rsid w:val="00D16CAB"/>
    <w:rsid w:val="00D20057"/>
    <w:rsid w:val="00D243A2"/>
    <w:rsid w:val="00D26692"/>
    <w:rsid w:val="00D33C69"/>
    <w:rsid w:val="00D350F7"/>
    <w:rsid w:val="00D40CE9"/>
    <w:rsid w:val="00D503B1"/>
    <w:rsid w:val="00D57B06"/>
    <w:rsid w:val="00D72AE2"/>
    <w:rsid w:val="00D7355F"/>
    <w:rsid w:val="00D80D2E"/>
    <w:rsid w:val="00D814BE"/>
    <w:rsid w:val="00D83573"/>
    <w:rsid w:val="00D87281"/>
    <w:rsid w:val="00D90010"/>
    <w:rsid w:val="00D90642"/>
    <w:rsid w:val="00D94889"/>
    <w:rsid w:val="00D9595F"/>
    <w:rsid w:val="00DA3157"/>
    <w:rsid w:val="00DA3DDB"/>
    <w:rsid w:val="00DA4F5E"/>
    <w:rsid w:val="00DC1678"/>
    <w:rsid w:val="00DD164D"/>
    <w:rsid w:val="00DD2B6B"/>
    <w:rsid w:val="00DD61CA"/>
    <w:rsid w:val="00DD63B1"/>
    <w:rsid w:val="00DE7656"/>
    <w:rsid w:val="00DF0426"/>
    <w:rsid w:val="00DF3F66"/>
    <w:rsid w:val="00DF4F90"/>
    <w:rsid w:val="00E0433A"/>
    <w:rsid w:val="00E10F9A"/>
    <w:rsid w:val="00E15AC0"/>
    <w:rsid w:val="00E16FAD"/>
    <w:rsid w:val="00E22D25"/>
    <w:rsid w:val="00E255BC"/>
    <w:rsid w:val="00E25B17"/>
    <w:rsid w:val="00E2772A"/>
    <w:rsid w:val="00E27DCF"/>
    <w:rsid w:val="00E37661"/>
    <w:rsid w:val="00E6028A"/>
    <w:rsid w:val="00E65FB7"/>
    <w:rsid w:val="00E75F2C"/>
    <w:rsid w:val="00E82E95"/>
    <w:rsid w:val="00E844DE"/>
    <w:rsid w:val="00E87349"/>
    <w:rsid w:val="00E93629"/>
    <w:rsid w:val="00E95CFE"/>
    <w:rsid w:val="00EA19D4"/>
    <w:rsid w:val="00EB5D6A"/>
    <w:rsid w:val="00EC2445"/>
    <w:rsid w:val="00EC2CBE"/>
    <w:rsid w:val="00ED639B"/>
    <w:rsid w:val="00EE6290"/>
    <w:rsid w:val="00EF041D"/>
    <w:rsid w:val="00EF3C7B"/>
    <w:rsid w:val="00F059FD"/>
    <w:rsid w:val="00F1172F"/>
    <w:rsid w:val="00F14FE4"/>
    <w:rsid w:val="00F15EC2"/>
    <w:rsid w:val="00F20B0A"/>
    <w:rsid w:val="00F25768"/>
    <w:rsid w:val="00F30306"/>
    <w:rsid w:val="00F40106"/>
    <w:rsid w:val="00F46CE9"/>
    <w:rsid w:val="00F470EF"/>
    <w:rsid w:val="00F52F2A"/>
    <w:rsid w:val="00F53988"/>
    <w:rsid w:val="00F61A05"/>
    <w:rsid w:val="00F6206F"/>
    <w:rsid w:val="00F64707"/>
    <w:rsid w:val="00F70E4E"/>
    <w:rsid w:val="00F775CE"/>
    <w:rsid w:val="00F869DE"/>
    <w:rsid w:val="00F93103"/>
    <w:rsid w:val="00F94B6D"/>
    <w:rsid w:val="00F958B7"/>
    <w:rsid w:val="00F95A3C"/>
    <w:rsid w:val="00F96AC7"/>
    <w:rsid w:val="00FB5382"/>
    <w:rsid w:val="00FB5A41"/>
    <w:rsid w:val="00FB6C03"/>
    <w:rsid w:val="00FD596C"/>
    <w:rsid w:val="00FE1778"/>
    <w:rsid w:val="00FE3186"/>
    <w:rsid w:val="00FF1A54"/>
    <w:rsid w:val="00FF2AF5"/>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C2CBE"/>
    <w:rPr>
      <w:sz w:val="18"/>
      <w:szCs w:val="18"/>
    </w:rPr>
  </w:style>
  <w:style w:type="paragraph" w:styleId="CommentText">
    <w:name w:val="annotation text"/>
    <w:basedOn w:val="Normal"/>
    <w:link w:val="CommentTextChar"/>
    <w:uiPriority w:val="99"/>
    <w:semiHidden/>
    <w:unhideWhenUsed/>
    <w:rsid w:val="00EC2CBE"/>
    <w:rPr>
      <w:sz w:val="24"/>
      <w:szCs w:val="24"/>
    </w:rPr>
  </w:style>
  <w:style w:type="character" w:customStyle="1" w:styleId="CommentTextChar">
    <w:name w:val="Comment Text Char"/>
    <w:basedOn w:val="DefaultParagraphFont"/>
    <w:link w:val="CommentText"/>
    <w:uiPriority w:val="99"/>
    <w:semiHidden/>
    <w:rsid w:val="00EC2CBE"/>
    <w:rPr>
      <w:sz w:val="24"/>
      <w:szCs w:val="24"/>
    </w:rPr>
  </w:style>
  <w:style w:type="paragraph" w:styleId="CommentSubject">
    <w:name w:val="annotation subject"/>
    <w:basedOn w:val="CommentText"/>
    <w:next w:val="CommentText"/>
    <w:link w:val="CommentSubjectChar"/>
    <w:uiPriority w:val="99"/>
    <w:semiHidden/>
    <w:unhideWhenUsed/>
    <w:rsid w:val="00EC2CBE"/>
    <w:rPr>
      <w:b/>
      <w:bCs/>
      <w:sz w:val="20"/>
      <w:szCs w:val="20"/>
    </w:rPr>
  </w:style>
  <w:style w:type="character" w:customStyle="1" w:styleId="CommentSubjectChar">
    <w:name w:val="Comment Subject Char"/>
    <w:basedOn w:val="CommentTextChar"/>
    <w:link w:val="CommentSubject"/>
    <w:uiPriority w:val="99"/>
    <w:semiHidden/>
    <w:rsid w:val="00EC2CB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C2CBE"/>
    <w:rPr>
      <w:sz w:val="18"/>
      <w:szCs w:val="18"/>
    </w:rPr>
  </w:style>
  <w:style w:type="paragraph" w:styleId="CommentText">
    <w:name w:val="annotation text"/>
    <w:basedOn w:val="Normal"/>
    <w:link w:val="CommentTextChar"/>
    <w:uiPriority w:val="99"/>
    <w:semiHidden/>
    <w:unhideWhenUsed/>
    <w:rsid w:val="00EC2CBE"/>
    <w:rPr>
      <w:sz w:val="24"/>
      <w:szCs w:val="24"/>
    </w:rPr>
  </w:style>
  <w:style w:type="character" w:customStyle="1" w:styleId="CommentTextChar">
    <w:name w:val="Comment Text Char"/>
    <w:basedOn w:val="DefaultParagraphFont"/>
    <w:link w:val="CommentText"/>
    <w:uiPriority w:val="99"/>
    <w:semiHidden/>
    <w:rsid w:val="00EC2CBE"/>
    <w:rPr>
      <w:sz w:val="24"/>
      <w:szCs w:val="24"/>
    </w:rPr>
  </w:style>
  <w:style w:type="paragraph" w:styleId="CommentSubject">
    <w:name w:val="annotation subject"/>
    <w:basedOn w:val="CommentText"/>
    <w:next w:val="CommentText"/>
    <w:link w:val="CommentSubjectChar"/>
    <w:uiPriority w:val="99"/>
    <w:semiHidden/>
    <w:unhideWhenUsed/>
    <w:rsid w:val="00EC2CBE"/>
    <w:rPr>
      <w:b/>
      <w:bCs/>
      <w:sz w:val="20"/>
      <w:szCs w:val="20"/>
    </w:rPr>
  </w:style>
  <w:style w:type="character" w:customStyle="1" w:styleId="CommentSubjectChar">
    <w:name w:val="Comment Subject Char"/>
    <w:basedOn w:val="CommentTextChar"/>
    <w:link w:val="CommentSubject"/>
    <w:uiPriority w:val="99"/>
    <w:semiHidden/>
    <w:rsid w:val="00EC2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84813">
      <w:bodyDiv w:val="1"/>
      <w:marLeft w:val="0"/>
      <w:marRight w:val="0"/>
      <w:marTop w:val="0"/>
      <w:marBottom w:val="0"/>
      <w:divBdr>
        <w:top w:val="none" w:sz="0" w:space="0" w:color="auto"/>
        <w:left w:val="none" w:sz="0" w:space="0" w:color="auto"/>
        <w:bottom w:val="none" w:sz="0" w:space="0" w:color="auto"/>
        <w:right w:val="none" w:sz="0" w:space="0" w:color="auto"/>
      </w:divBdr>
    </w:div>
    <w:div w:id="10440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sendze@hinfonet.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aine.gov/dhhs/oms/sim/data-infrastructure/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C8A99-673B-4585-9234-94CFE5FC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Katie Sendze</cp:lastModifiedBy>
  <cp:revision>12</cp:revision>
  <cp:lastPrinted>2013-11-01T13:06:00Z</cp:lastPrinted>
  <dcterms:created xsi:type="dcterms:W3CDTF">2014-04-17T14:34:00Z</dcterms:created>
  <dcterms:modified xsi:type="dcterms:W3CDTF">2014-04-17T17:56:00Z</dcterms:modified>
</cp:coreProperties>
</file>